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E42D5" w14:paraId="7EFBE78B" w14:textId="77777777" w:rsidTr="00827F1E">
        <w:trPr>
          <w:trHeight w:val="1584"/>
        </w:trPr>
        <w:tc>
          <w:tcPr>
            <w:tcW w:w="10790" w:type="dxa"/>
            <w:shd w:val="clear" w:color="auto" w:fill="E6F5E4"/>
            <w:tcMar>
              <w:left w:w="259" w:type="dxa"/>
              <w:right w:w="259" w:type="dxa"/>
            </w:tcMar>
            <w:vAlign w:val="center"/>
          </w:tcPr>
          <w:p w14:paraId="0F0CF411" w14:textId="063FA85F" w:rsidR="00BC14A9" w:rsidRPr="00212BC0" w:rsidRDefault="00827F1E" w:rsidP="00827F1E">
            <w:pPr>
              <w:pStyle w:val="Copy"/>
            </w:pPr>
            <w:r w:rsidRPr="00827F1E">
              <w:t>In this lesson, students have an opportunity to experience the effects of urban growth on their personal finances. The phenomena of urban sprawl, vehicle use, traffic congestion, and population density have distinct effects on personal finances. This lesson will serve as a bridge between urban geography and financial literacy.</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E42D5" w14:paraId="66B3D174" w14:textId="77777777" w:rsidTr="00DE42D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85A1CA1" w:rsidR="00DE42D5" w:rsidRPr="00166711" w:rsidRDefault="00827F1E" w:rsidP="006F26DC">
            <w:pPr>
              <w:pStyle w:val="GradeLevel"/>
              <w:rPr>
                <w:lang w:val="en-CA"/>
              </w:rPr>
            </w:pPr>
            <w:r>
              <w:rPr>
                <w:lang w:val="en-CA"/>
              </w:rPr>
              <w:t>9–10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3D30666" w14:textId="77777777" w:rsidR="00853505" w:rsidRPr="00853505" w:rsidRDefault="00853505" w:rsidP="00853505">
            <w:pPr>
              <w:pStyle w:val="Copy"/>
              <w:rPr>
                <w:lang w:val="en-US"/>
              </w:rPr>
            </w:pPr>
            <w:r w:rsidRPr="00853505">
              <w:rPr>
                <w:lang w:val="en-US"/>
              </w:rPr>
              <w:t>CGC1D – Issues in Canadian Geography CGC1P – Issues in Canadian Geography</w:t>
            </w:r>
          </w:p>
          <w:p w14:paraId="517987C9" w14:textId="31A96CFE" w:rsidR="00DE42D5" w:rsidRPr="002D4BA5" w:rsidRDefault="00853505" w:rsidP="00853505">
            <w:pPr>
              <w:pStyle w:val="Copy"/>
            </w:pPr>
            <w:r w:rsidRPr="00853505">
              <w:rPr>
                <w:lang w:val="en-US"/>
              </w:rPr>
              <w:t>*</w:t>
            </w:r>
            <w:proofErr w:type="gramStart"/>
            <w:r w:rsidRPr="00853505">
              <w:rPr>
                <w:lang w:val="en-US"/>
              </w:rPr>
              <w:t>Also</w:t>
            </w:r>
            <w:proofErr w:type="gramEnd"/>
            <w:r w:rsidRPr="00853505">
              <w:rPr>
                <w:lang w:val="en-US"/>
              </w:rPr>
              <w:t xml:space="preserve"> applicable in Economics and Business.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E42D5" w:rsidRDefault="00DE42D5" w:rsidP="00E80C32">
            <w:pPr>
              <w:pStyle w:val="Copy"/>
            </w:pPr>
            <w:r w:rsidRPr="00872DBF">
              <w:t>At the end of this lesson, students will:</w:t>
            </w:r>
          </w:p>
          <w:p w14:paraId="0B0D49BC" w14:textId="77777777" w:rsidR="00853505" w:rsidRPr="00853505" w:rsidRDefault="00853505" w:rsidP="00853505">
            <w:pPr>
              <w:pStyle w:val="Bullet"/>
            </w:pPr>
            <w:r w:rsidRPr="00853505">
              <w:t>understand the cost-benefit relationship of living closer</w:t>
            </w:r>
          </w:p>
          <w:p w14:paraId="17D273B0" w14:textId="77777777" w:rsidR="00853505" w:rsidRPr="00853505" w:rsidRDefault="00853505" w:rsidP="00853505">
            <w:pPr>
              <w:pStyle w:val="Bullet"/>
            </w:pPr>
            <w:r w:rsidRPr="00853505">
              <w:t>to the urban core versus living in the suburbs or the rural area;</w:t>
            </w:r>
          </w:p>
          <w:p w14:paraId="7FACD7DD" w14:textId="77777777" w:rsidR="00853505" w:rsidRPr="00853505" w:rsidRDefault="00853505" w:rsidP="00853505">
            <w:pPr>
              <w:pStyle w:val="Bullet"/>
            </w:pPr>
            <w:r w:rsidRPr="00853505">
              <w:t>compare the benefits and drawbacks of renting, within the context of an urban setting;</w:t>
            </w:r>
          </w:p>
          <w:p w14:paraId="1C9BCDB8" w14:textId="24E22A94" w:rsidR="00DE42D5" w:rsidRPr="00030CB4" w:rsidRDefault="00853505" w:rsidP="00853505">
            <w:pPr>
              <w:pStyle w:val="Bullet"/>
            </w:pPr>
            <w:r w:rsidRPr="00853505">
              <w:rPr>
                <w:lang w:val="en-US"/>
              </w:rPr>
              <w:t>analyze the geographic impact on long-term property value (greenbelts, gentrification etc.).</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202FD966" w14:textId="65747887" w:rsidR="00DE42D5" w:rsidRPr="00030CB4" w:rsidRDefault="00853505" w:rsidP="00A6488D">
            <w:pPr>
              <w:pStyle w:val="CopyCentred"/>
            </w:pPr>
            <w:r w:rsidRPr="00853505">
              <w:rPr>
                <w:lang w:val="en-US"/>
              </w:rPr>
              <w:t>70 minutes x 2</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0D975A12" w14:textId="1A13D873" w:rsidR="00853505" w:rsidRPr="00853505" w:rsidRDefault="00853505" w:rsidP="00853505">
            <w:pPr>
              <w:pStyle w:val="GreyHeading"/>
            </w:pPr>
            <w:r w:rsidRPr="00853505">
              <w:t>Canadian and World Studies, grades 9 and 10 (2013) Issues in Canadian Geography (CGC1D)</w:t>
            </w:r>
          </w:p>
          <w:p w14:paraId="02672222" w14:textId="77777777" w:rsidR="00853505" w:rsidRPr="00853505" w:rsidRDefault="00853505" w:rsidP="00853505">
            <w:pPr>
              <w:pStyle w:val="Subhead"/>
            </w:pPr>
            <w:r w:rsidRPr="00853505">
              <w:t>Livable communities</w:t>
            </w:r>
          </w:p>
          <w:p w14:paraId="499531AA" w14:textId="77777777" w:rsidR="00853505" w:rsidRDefault="00853505" w:rsidP="00853505">
            <w:pPr>
              <w:pStyle w:val="Copy"/>
              <w:rPr>
                <w:lang w:val="en-US"/>
              </w:rPr>
            </w:pPr>
            <w:r w:rsidRPr="00853505">
              <w:rPr>
                <w:lang w:val="en-US"/>
              </w:rPr>
              <w:t xml:space="preserve">E2.2 Analyze various economic, social, and political impacts of urban growth (e.g., cost of expanding infrastructure and public services; health impacts, such as faster spread of disease in densely populated communities, increases in asthma attacks </w:t>
            </w:r>
            <w:proofErr w:type="gramStart"/>
            <w:r w:rsidRPr="00853505">
              <w:rPr>
                <w:lang w:val="en-US"/>
              </w:rPr>
              <w:t>as a result of</w:t>
            </w:r>
            <w:proofErr w:type="gramEnd"/>
            <w:r w:rsidRPr="00853505">
              <w:rPr>
                <w:lang w:val="en-US"/>
              </w:rPr>
              <w:t xml:space="preserve"> poor air quality, and stress related to crowding; traffic congestion and related economic costs; conflict over development priorities).</w:t>
            </w:r>
          </w:p>
          <w:p w14:paraId="06636EC0" w14:textId="77777777" w:rsidR="00853505" w:rsidRPr="00853505" w:rsidRDefault="00853505" w:rsidP="00853505">
            <w:pPr>
              <w:pStyle w:val="SpaceBetween"/>
            </w:pPr>
          </w:p>
          <w:p w14:paraId="7790A14E" w14:textId="7B9F3341" w:rsidR="00D552CC" w:rsidRPr="00D552CC" w:rsidRDefault="00853505" w:rsidP="00853505">
            <w:pPr>
              <w:pStyle w:val="Copy"/>
            </w:pPr>
            <w:r w:rsidRPr="00853505">
              <w:rPr>
                <w:lang w:val="en-US"/>
              </w:rPr>
              <w:t xml:space="preserve">E2.3 Describe strategies that urban planners use to control urban sprawl (e.g., green belts, high density residential infill, gentrification), and </w:t>
            </w:r>
            <w:proofErr w:type="spellStart"/>
            <w:r w:rsidRPr="00853505">
              <w:rPr>
                <w:lang w:val="en-US"/>
              </w:rPr>
              <w:t>analyse</w:t>
            </w:r>
            <w:proofErr w:type="spellEnd"/>
            <w:r w:rsidRPr="00853505">
              <w:rPr>
                <w:lang w:val="en-US"/>
              </w:rPr>
              <w:t xml:space="preserve"> examples of their implementation.</w:t>
            </w:r>
          </w:p>
        </w:tc>
      </w:tr>
    </w:tbl>
    <w:p w14:paraId="7256BB9D" w14:textId="77777777" w:rsidR="00EB472A" w:rsidRDefault="00EB472A"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53505" w14:paraId="2AA29321" w14:textId="77777777" w:rsidTr="00071EC5">
        <w:trPr>
          <w:trHeight w:val="441"/>
        </w:trPr>
        <w:tc>
          <w:tcPr>
            <w:tcW w:w="10800" w:type="dxa"/>
            <w:shd w:val="clear" w:color="auto" w:fill="54B948"/>
            <w:tcMar>
              <w:left w:w="259" w:type="dxa"/>
              <w:right w:w="115" w:type="dxa"/>
            </w:tcMar>
            <w:vAlign w:val="center"/>
          </w:tcPr>
          <w:p w14:paraId="171563CE" w14:textId="72A644E1" w:rsidR="00853505" w:rsidRPr="00853505" w:rsidRDefault="00853505" w:rsidP="00071EC5">
            <w:pPr>
              <w:pStyle w:val="ChartHeading"/>
              <w:rPr>
                <w:b w:val="0"/>
                <w:sz w:val="13"/>
                <w:szCs w:val="13"/>
              </w:rPr>
            </w:pPr>
            <w:r w:rsidRPr="00376D39">
              <w:lastRenderedPageBreak/>
              <w:t>Curriculum Links</w:t>
            </w:r>
            <w:r>
              <w:t xml:space="preserve"> </w:t>
            </w:r>
            <w:r>
              <w:rPr>
                <w:b w:val="0"/>
              </w:rPr>
              <w:t>(cont’d.)</w:t>
            </w:r>
          </w:p>
        </w:tc>
      </w:tr>
      <w:tr w:rsidR="00853505" w14:paraId="7771C54A" w14:textId="77777777" w:rsidTr="00071EC5">
        <w:trPr>
          <w:trHeight w:val="20"/>
        </w:trPr>
        <w:tc>
          <w:tcPr>
            <w:tcW w:w="10800" w:type="dxa"/>
            <w:shd w:val="clear" w:color="auto" w:fill="auto"/>
            <w:tcMar>
              <w:top w:w="173" w:type="dxa"/>
              <w:left w:w="259" w:type="dxa"/>
              <w:bottom w:w="173" w:type="dxa"/>
              <w:right w:w="115" w:type="dxa"/>
            </w:tcMar>
          </w:tcPr>
          <w:p w14:paraId="0509EF6B" w14:textId="77777777" w:rsidR="00853505" w:rsidRDefault="00853505" w:rsidP="00853505">
            <w:pPr>
              <w:pStyle w:val="GreyHeading"/>
            </w:pPr>
            <w:r w:rsidRPr="00853505">
              <w:t xml:space="preserve">Issues in Canadian Geography (CGC1P) </w:t>
            </w:r>
          </w:p>
          <w:p w14:paraId="1869FCBB" w14:textId="693288E7" w:rsidR="00853505" w:rsidRPr="00853505" w:rsidRDefault="00853505" w:rsidP="00853505">
            <w:pPr>
              <w:pStyle w:val="Subhead"/>
            </w:pPr>
            <w:r w:rsidRPr="00853505">
              <w:t>Livable communities</w:t>
            </w:r>
          </w:p>
          <w:p w14:paraId="636010CF" w14:textId="351140C4" w:rsidR="00853505" w:rsidRPr="00D552CC" w:rsidRDefault="00853505" w:rsidP="00853505">
            <w:pPr>
              <w:pStyle w:val="Copy"/>
            </w:pPr>
            <w:r w:rsidRPr="00853505">
              <w:rPr>
                <w:lang w:val="en-US"/>
              </w:rPr>
              <w:t>E2.2 Explain how changes in land use can affect the growth or decline of different parts of a community (e.g., new suburban malls can drain business from downtown stores and lead to the decline of a community’s central core; replacing an old industrial district with retail or recreational development, adding additional transportation capacity, new cultural institutions, amenities, industrial parks can stimulate growth).</w:t>
            </w:r>
          </w:p>
        </w:tc>
      </w:tr>
    </w:tbl>
    <w:p w14:paraId="6C121C1C" w14:textId="77777777" w:rsidR="00853505" w:rsidRDefault="00853505">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53505" w14:paraId="2E966D87"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5EEA0AB" w14:textId="77777777" w:rsidR="00853505" w:rsidRDefault="00853505" w:rsidP="00071EC5">
            <w:pPr>
              <w:pStyle w:val="ChartHeading"/>
              <w:rPr>
                <w:sz w:val="13"/>
                <w:szCs w:val="13"/>
              </w:rPr>
            </w:pPr>
            <w:r w:rsidRPr="00577745">
              <w:t>Materials List</w:t>
            </w:r>
          </w:p>
        </w:tc>
      </w:tr>
      <w:tr w:rsidR="00853505" w14:paraId="2DFEDA19"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77E2930" w14:textId="0FDFCBA1" w:rsidR="00853505" w:rsidRPr="00AE2DB7" w:rsidRDefault="00853505" w:rsidP="00071EC5">
            <w:pPr>
              <w:pStyle w:val="Bullet"/>
            </w:pPr>
            <w:r w:rsidRPr="00853505">
              <w:rPr>
                <w:lang w:val="en-US"/>
              </w:rPr>
              <w:t>The Greenbelt Plan, Appendix A</w:t>
            </w:r>
          </w:p>
        </w:tc>
      </w:tr>
    </w:tbl>
    <w:p w14:paraId="0DCD467A" w14:textId="77777777" w:rsidR="00853505" w:rsidRDefault="00853505">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EB472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E6082CA"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D2E459" w14:textId="4C43265D" w:rsidR="00853505" w:rsidRPr="00853505" w:rsidRDefault="00853505" w:rsidP="00853505">
            <w:pPr>
              <w:pStyle w:val="Copy"/>
            </w:pPr>
            <w:r w:rsidRPr="00853505">
              <w:t>Write “costs of living in a city” on the board and ask students to raise their hands if they have examples of expenses that are specific to living in a city. Then ask students about the expenses of living outside of the city. Together with students, compile a Venn diagram on the board to compare the different costs.</w:t>
            </w:r>
          </w:p>
          <w:p w14:paraId="195AE0C3" w14:textId="67EB6308" w:rsidR="00853505" w:rsidRPr="00853505" w:rsidRDefault="00853505" w:rsidP="00853505">
            <w:pPr>
              <w:pStyle w:val="Copy"/>
            </w:pPr>
            <w:r w:rsidRPr="00853505">
              <w:t xml:space="preserve">After ideas have been shared, explain to students that a cost/benefit </w:t>
            </w:r>
            <w:proofErr w:type="spellStart"/>
            <w:r w:rsidRPr="00853505">
              <w:t>tradeoff</w:t>
            </w:r>
            <w:proofErr w:type="spellEnd"/>
            <w:r w:rsidRPr="00853505">
              <w:t xml:space="preserve"> exists when living closer to a city versus living further from the urban core.</w:t>
            </w:r>
          </w:p>
          <w:p w14:paraId="4E6D620B" w14:textId="77777777" w:rsidR="00853505" w:rsidRPr="00853505" w:rsidRDefault="00853505" w:rsidP="00853505">
            <w:pPr>
              <w:pStyle w:val="Copy"/>
            </w:pPr>
            <w:r w:rsidRPr="00853505">
              <w:t>Some factors to consider include:</w:t>
            </w:r>
          </w:p>
          <w:p w14:paraId="55572B98" w14:textId="77777777" w:rsidR="00853505" w:rsidRPr="00853505" w:rsidRDefault="00853505" w:rsidP="00853505">
            <w:pPr>
              <w:pStyle w:val="Bullet"/>
            </w:pPr>
            <w:r w:rsidRPr="00853505">
              <w:t>Transportation needs and costs</w:t>
            </w:r>
          </w:p>
          <w:p w14:paraId="0C3039C4" w14:textId="77777777" w:rsidR="00853505" w:rsidRPr="00853505" w:rsidRDefault="00853505" w:rsidP="00853505">
            <w:pPr>
              <w:pStyle w:val="Bullet"/>
            </w:pPr>
            <w:r w:rsidRPr="00853505">
              <w:t>Psychological factors such as lifestyle; commuter</w:t>
            </w:r>
          </w:p>
          <w:p w14:paraId="3124DBFC" w14:textId="77777777" w:rsidR="00853505" w:rsidRPr="00853505" w:rsidRDefault="00853505" w:rsidP="00853505">
            <w:pPr>
              <w:pStyle w:val="Bullet"/>
            </w:pPr>
            <w:r w:rsidRPr="00853505">
              <w:t>The opportunity cost of lost time (i.e., travelling instead of working)</w:t>
            </w:r>
          </w:p>
          <w:p w14:paraId="6E182CD5" w14:textId="77777777" w:rsidR="00853505" w:rsidRPr="00853505" w:rsidRDefault="00853505" w:rsidP="00853505">
            <w:pPr>
              <w:pStyle w:val="Bullet"/>
            </w:pPr>
            <w:r w:rsidRPr="00853505">
              <w:t>The ecological impact</w:t>
            </w:r>
          </w:p>
          <w:p w14:paraId="307CE2DD" w14:textId="77777777" w:rsidR="00853505" w:rsidRPr="00853505" w:rsidRDefault="00853505" w:rsidP="00853505">
            <w:pPr>
              <w:pStyle w:val="Bullet"/>
            </w:pPr>
            <w:r w:rsidRPr="00853505">
              <w:t>Property costs</w:t>
            </w:r>
          </w:p>
          <w:p w14:paraId="31B54942" w14:textId="6601D68B" w:rsidR="00276BD7" w:rsidRPr="00EB472A" w:rsidRDefault="00853505" w:rsidP="00853505">
            <w:pPr>
              <w:pStyle w:val="Bullet"/>
            </w:pPr>
            <w:r w:rsidRPr="00853505">
              <w:t>Impact on disposable income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786776C" w:rsidR="000A44BB" w:rsidRPr="004365A8" w:rsidRDefault="000A44BB" w:rsidP="00CA0C50">
            <w:pPr>
              <w:pStyle w:val="Copy"/>
            </w:pPr>
          </w:p>
        </w:tc>
      </w:tr>
    </w:tbl>
    <w:p w14:paraId="090024E1" w14:textId="77777777" w:rsidR="00EB472A" w:rsidRDefault="00EB472A"/>
    <w:p w14:paraId="2756C695" w14:textId="77777777" w:rsidR="00853505" w:rsidRDefault="00EB472A">
      <w:r>
        <w:br w:type="page"/>
      </w:r>
    </w:p>
    <w:tbl>
      <w:tblPr>
        <w:tblStyle w:val="TableGrid"/>
        <w:tblW w:w="10784" w:type="dxa"/>
        <w:tblLayout w:type="fixed"/>
        <w:tblLook w:val="04A0" w:firstRow="1" w:lastRow="0" w:firstColumn="1" w:lastColumn="0" w:noHBand="0" w:noVBand="1"/>
      </w:tblPr>
      <w:tblGrid>
        <w:gridCol w:w="1094"/>
        <w:gridCol w:w="6552"/>
        <w:gridCol w:w="3138"/>
      </w:tblGrid>
      <w:tr w:rsidR="00853505" w:rsidRPr="00FC75BD" w14:paraId="21D29505"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0CF7C7" w14:textId="77777777" w:rsidR="00853505" w:rsidRPr="00FC75BD" w:rsidRDefault="00853505"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78A693B" w14:textId="77777777" w:rsidR="00853505" w:rsidRPr="00FC75BD" w:rsidRDefault="00853505"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3F3D166" w14:textId="77777777" w:rsidR="00853505" w:rsidRPr="00FC75BD" w:rsidRDefault="00853505"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BB53581" w14:textId="77777777" w:rsidR="00853505" w:rsidRPr="00FC75BD" w:rsidRDefault="00853505"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53505" w:rsidRPr="00FC75BD" w14:paraId="20CF02A0" w14:textId="77777777" w:rsidTr="00EC362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6AB9DBC" w14:textId="2C0A0F3D" w:rsidR="00853505" w:rsidRPr="00853505" w:rsidRDefault="00853505" w:rsidP="00071EC5">
            <w:pPr>
              <w:pStyle w:val="SectionHeading"/>
              <w:rPr>
                <w:b w:val="0"/>
              </w:rPr>
            </w:pPr>
            <w:r w:rsidRPr="00567ED8">
              <w:t>MINDS ON</w:t>
            </w:r>
            <w:r>
              <w:t xml:space="preserve"> </w:t>
            </w:r>
            <w:r>
              <w:rPr>
                <w:b w:val="0"/>
              </w:rPr>
              <w:t>(cont’d.)</w:t>
            </w:r>
          </w:p>
        </w:tc>
      </w:tr>
      <w:tr w:rsidR="00853505" w:rsidRPr="004365A8" w14:paraId="7672080B" w14:textId="77777777" w:rsidTr="00EC362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0A478FC" w14:textId="77777777" w:rsidR="00853505" w:rsidRPr="00E80C32" w:rsidRDefault="00853505"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5C5113C" w14:textId="77777777" w:rsidR="00853505" w:rsidRDefault="00853505" w:rsidP="00853505">
            <w:pPr>
              <w:pStyle w:val="Subhead"/>
            </w:pPr>
            <w:r>
              <w:t xml:space="preserve">Activity: Creating a budget – living outside of the </w:t>
            </w:r>
            <w:r w:rsidRPr="00853505">
              <w:t xml:space="preserve">city </w:t>
            </w:r>
          </w:p>
          <w:p w14:paraId="7EF4276E" w14:textId="6E0CA2E0" w:rsidR="00853505" w:rsidRPr="00853505" w:rsidRDefault="00853505" w:rsidP="00853505">
            <w:pPr>
              <w:pStyle w:val="Copy"/>
              <w:rPr>
                <w:lang w:val="en-US"/>
              </w:rPr>
            </w:pPr>
            <w:r w:rsidRPr="00853505">
              <w:rPr>
                <w:lang w:val="en-US"/>
              </w:rPr>
              <w:t>List the following a</w:t>
            </w:r>
            <w:r w:rsidR="00EC362B">
              <w:rPr>
                <w:lang w:val="en-US"/>
              </w:rPr>
              <w:t xml:space="preserve">nnual incomes and costs on the </w:t>
            </w:r>
            <w:r w:rsidRPr="00853505">
              <w:rPr>
                <w:lang w:val="en-US"/>
              </w:rPr>
              <w:t>board:</w:t>
            </w:r>
          </w:p>
          <w:p w14:paraId="77999A0C" w14:textId="77777777" w:rsidR="00853505" w:rsidRPr="00853505" w:rsidRDefault="00853505" w:rsidP="00EC362B">
            <w:pPr>
              <w:pStyle w:val="Bullet"/>
            </w:pPr>
            <w:r w:rsidRPr="00853505">
              <w:t>Downtown office employee salary = $60,000</w:t>
            </w:r>
          </w:p>
          <w:p w14:paraId="5AB7BE8F" w14:textId="77777777" w:rsidR="00853505" w:rsidRPr="00853505" w:rsidRDefault="00853505" w:rsidP="00EC362B">
            <w:pPr>
              <w:pStyle w:val="Bullet"/>
            </w:pPr>
            <w:r w:rsidRPr="00853505">
              <w:t>Suburban office employee salary = $50,000</w:t>
            </w:r>
          </w:p>
          <w:p w14:paraId="56166C0F" w14:textId="77777777" w:rsidR="00853505" w:rsidRPr="00853505" w:rsidRDefault="00853505" w:rsidP="00EC362B">
            <w:pPr>
              <w:pStyle w:val="Bullet"/>
            </w:pPr>
            <w:r w:rsidRPr="00853505">
              <w:t>Car cost (insurance, fuel, depreciation) = $7,500</w:t>
            </w:r>
          </w:p>
          <w:p w14:paraId="353C5BCF" w14:textId="77777777" w:rsidR="00853505" w:rsidRPr="00853505" w:rsidRDefault="00853505" w:rsidP="00EC362B">
            <w:pPr>
              <w:pStyle w:val="Bullet"/>
            </w:pPr>
            <w:r w:rsidRPr="00853505">
              <w:t>Downtown parking = $1,000</w:t>
            </w:r>
          </w:p>
          <w:p w14:paraId="679ADE4D" w14:textId="77777777" w:rsidR="00853505" w:rsidRPr="00853505" w:rsidRDefault="00853505" w:rsidP="00EC362B">
            <w:pPr>
              <w:pStyle w:val="Bullet"/>
            </w:pPr>
            <w:r w:rsidRPr="00853505">
              <w:t>Housing, outside of the city = $13,000</w:t>
            </w:r>
          </w:p>
          <w:p w14:paraId="3B4F2277" w14:textId="77777777" w:rsidR="00853505" w:rsidRPr="00853505" w:rsidRDefault="00853505" w:rsidP="00EC362B">
            <w:pPr>
              <w:pStyle w:val="Bullet"/>
            </w:pPr>
            <w:r w:rsidRPr="00853505">
              <w:t>Housing, inside the city Limits = $20,000</w:t>
            </w:r>
          </w:p>
          <w:p w14:paraId="34215CDC" w14:textId="06C5BF4D" w:rsidR="00853505" w:rsidRDefault="00853505" w:rsidP="00CB76EF">
            <w:pPr>
              <w:pStyle w:val="Bullet"/>
            </w:pPr>
            <w:r w:rsidRPr="00853505">
              <w:t>Public transit</w:t>
            </w:r>
            <w:bookmarkStart w:id="0" w:name="_GoBack"/>
            <w:bookmarkEnd w:id="0"/>
            <w:r w:rsidRPr="00853505">
              <w:t xml:space="preserve"> (inside the city only) =</w:t>
            </w:r>
            <w:r w:rsidR="00C80287">
              <w:t xml:space="preserve"> </w:t>
            </w:r>
            <w:r w:rsidRPr="00853505">
              <w:t>$1,500</w:t>
            </w:r>
          </w:p>
          <w:p w14:paraId="75D160C9" w14:textId="77777777" w:rsidR="00EC362B" w:rsidRDefault="00EC362B" w:rsidP="00EC362B">
            <w:pPr>
              <w:pStyle w:val="IntroCopy"/>
            </w:pPr>
          </w:p>
          <w:p w14:paraId="59F11EB5" w14:textId="77777777" w:rsidR="00853505" w:rsidRPr="00853505" w:rsidRDefault="00853505" w:rsidP="00853505">
            <w:pPr>
              <w:pStyle w:val="NumberedList"/>
            </w:pPr>
            <w:r w:rsidRPr="00853505">
              <w:t>Ask students to create a budget (inflows/outflows) based on their costs of living outside of the city on a yearly basis.</w:t>
            </w:r>
          </w:p>
          <w:p w14:paraId="6A5DA42A" w14:textId="3F609247" w:rsidR="00853505" w:rsidRPr="00853505" w:rsidRDefault="00853505" w:rsidP="00853505">
            <w:pPr>
              <w:pStyle w:val="NumberedList"/>
            </w:pPr>
            <w:r w:rsidRPr="00853505">
              <w:t>Ask students to create a budget based on their costs of living in the city on a yearly basis.</w:t>
            </w:r>
          </w:p>
          <w:p w14:paraId="4F134C97" w14:textId="76D896C4" w:rsidR="00853505" w:rsidRPr="00853505" w:rsidRDefault="00853505" w:rsidP="00853505">
            <w:pPr>
              <w:pStyle w:val="Copy"/>
              <w:rPr>
                <w:lang w:val="en-US"/>
              </w:rPr>
            </w:pPr>
            <w:r w:rsidRPr="00853505">
              <w:rPr>
                <w:lang w:val="en-US"/>
              </w:rPr>
              <w:t>After the students have worked on the activity for 10 minutes, get a few students to write their ideas on the board and encourage them to share their thoughts with the rest of the class.</w:t>
            </w:r>
          </w:p>
          <w:p w14:paraId="1CEF01D2" w14:textId="326E2A2D" w:rsidR="00853505" w:rsidRPr="00EB472A" w:rsidRDefault="00853505" w:rsidP="00853505">
            <w:pPr>
              <w:pStyle w:val="Copy"/>
            </w:pPr>
            <w:r w:rsidRPr="00853505">
              <w:t>Conclude the activity by asking students whether there were any factors not considered in the analysis that should have been.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8259FD9" w14:textId="77777777" w:rsidR="00853505" w:rsidRPr="004365A8" w:rsidRDefault="00853505" w:rsidP="00071EC5">
            <w:pPr>
              <w:pStyle w:val="Copy"/>
            </w:pPr>
          </w:p>
        </w:tc>
      </w:tr>
      <w:tr w:rsidR="00EC362B" w:rsidRPr="004365A8" w14:paraId="102815D6" w14:textId="77777777" w:rsidTr="00EC362B">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632235A" w14:textId="77777777" w:rsidR="00EC362B" w:rsidRPr="00E80C32" w:rsidRDefault="00EC362B" w:rsidP="00071EC5">
            <w:pPr>
              <w:pStyle w:val="CopyCentred"/>
            </w:pPr>
          </w:p>
        </w:tc>
        <w:tc>
          <w:tcPr>
            <w:tcW w:w="655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6677321" w14:textId="25CE36F1" w:rsidR="00EC362B" w:rsidRPr="00EC362B" w:rsidRDefault="00EC362B" w:rsidP="00EC362B">
            <w:pPr>
              <w:pStyle w:val="Subhead"/>
              <w:rPr>
                <w:lang w:val="en-US"/>
              </w:rPr>
            </w:pPr>
            <w:r w:rsidRPr="00EC362B">
              <w:rPr>
                <w:lang w:val="en-US"/>
              </w:rPr>
              <w:t>Optional:</w:t>
            </w:r>
          </w:p>
          <w:p w14:paraId="1A866DF0" w14:textId="731E85A7" w:rsidR="00EC362B" w:rsidRPr="00EC362B" w:rsidRDefault="00EC362B" w:rsidP="00EC362B">
            <w:pPr>
              <w:pStyle w:val="Subhead"/>
              <w:rPr>
                <w:lang w:val="en-US"/>
              </w:rPr>
            </w:pPr>
            <w:r w:rsidRPr="00EC362B">
              <w:rPr>
                <w:lang w:val="en-US"/>
              </w:rPr>
              <w:t>Extension/stretch activity:</w:t>
            </w:r>
          </w:p>
          <w:p w14:paraId="1C732725" w14:textId="74FA4A28" w:rsidR="00EC362B" w:rsidRPr="00EC362B" w:rsidRDefault="00EC362B" w:rsidP="00EC362B">
            <w:pPr>
              <w:pStyle w:val="Copy"/>
            </w:pPr>
            <w:r w:rsidRPr="00EC362B">
              <w:t xml:space="preserve">Extend your learning with the following resource. Compare the costs of living in different cities around the world </w:t>
            </w:r>
            <w:hyperlink r:id="rId11">
              <w:r w:rsidRPr="00EC362B">
                <w:rPr>
                  <w:rStyle w:val="Hyperlink"/>
                  <w:lang w:val="en-US"/>
                </w:rPr>
                <w:t>http://www.expatistan.com/cost-of-living</w:t>
              </w:r>
            </w:hyperlink>
          </w:p>
          <w:p w14:paraId="1B1378B5" w14:textId="40FBCF5A" w:rsidR="00EC362B" w:rsidRPr="00EC362B" w:rsidRDefault="00EC362B" w:rsidP="00EC362B">
            <w:pPr>
              <w:pStyle w:val="Copy"/>
            </w:pPr>
            <w:r w:rsidRPr="00EC362B">
              <w:t>Ask students to come up with geographical hypotheses as to why it is more expensive to live in certain cities as opposed to others.</w:t>
            </w:r>
          </w:p>
          <w:p w14:paraId="2C832C1B" w14:textId="550A7558" w:rsidR="00EC362B" w:rsidRDefault="00EC362B" w:rsidP="00EC362B">
            <w:pPr>
              <w:pStyle w:val="Copy"/>
            </w:pPr>
            <w:r w:rsidRPr="00EC362B">
              <w:t>Explain that certain cities are more expensive due to geographic factors such as higher population density, greenbelts outside the urban core which limits the rise of suburbs, poor transportation (necessitating the need to live close to the city core, which is more expensive, etc.).</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F3FDDAD" w14:textId="77777777" w:rsidR="00EC362B" w:rsidRPr="004365A8" w:rsidRDefault="00EC362B" w:rsidP="00071EC5">
            <w:pPr>
              <w:pStyle w:val="Copy"/>
            </w:pPr>
          </w:p>
        </w:tc>
      </w:tr>
    </w:tbl>
    <w:p w14:paraId="6FBFF4DA" w14:textId="77777777" w:rsidR="00EC362B" w:rsidRDefault="00853505">
      <w:r>
        <w:br w:type="page"/>
      </w:r>
    </w:p>
    <w:tbl>
      <w:tblPr>
        <w:tblStyle w:val="TableGrid"/>
        <w:tblW w:w="10784" w:type="dxa"/>
        <w:tblLayout w:type="fixed"/>
        <w:tblLook w:val="04A0" w:firstRow="1" w:lastRow="0" w:firstColumn="1" w:lastColumn="0" w:noHBand="0" w:noVBand="1"/>
      </w:tblPr>
      <w:tblGrid>
        <w:gridCol w:w="1094"/>
        <w:gridCol w:w="6552"/>
        <w:gridCol w:w="3138"/>
      </w:tblGrid>
      <w:tr w:rsidR="00EC362B" w:rsidRPr="00FC75BD" w14:paraId="58551828" w14:textId="77777777" w:rsidTr="00EC362B">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221473B"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1B67BF9" w14:textId="77777777" w:rsidR="00EC362B" w:rsidRPr="00FC75BD" w:rsidRDefault="00EC362B"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0BEDB9F"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4FC2647"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C362B" w:rsidRPr="00FC75BD" w14:paraId="528B5E2F" w14:textId="77777777" w:rsidTr="00EC362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38C905F" w14:textId="77777777" w:rsidR="00EC362B" w:rsidRPr="00853505" w:rsidRDefault="00EC362B" w:rsidP="00071EC5">
            <w:pPr>
              <w:pStyle w:val="SectionHeading"/>
              <w:rPr>
                <w:b w:val="0"/>
              </w:rPr>
            </w:pPr>
            <w:r w:rsidRPr="00567ED8">
              <w:t>MINDS ON</w:t>
            </w:r>
            <w:r>
              <w:t xml:space="preserve"> </w:t>
            </w:r>
            <w:r>
              <w:rPr>
                <w:b w:val="0"/>
              </w:rPr>
              <w:t>(cont’d.)</w:t>
            </w:r>
          </w:p>
        </w:tc>
      </w:tr>
      <w:tr w:rsidR="00EC362B" w:rsidRPr="004365A8" w14:paraId="2B2717F5" w14:textId="77777777" w:rsidTr="00EC362B">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47A90A77" w14:textId="77777777" w:rsidR="00EC362B" w:rsidRPr="00E80C32" w:rsidRDefault="00EC362B" w:rsidP="00071EC5">
            <w:pPr>
              <w:pStyle w:val="CopyCentred"/>
            </w:pPr>
          </w:p>
        </w:tc>
        <w:tc>
          <w:tcPr>
            <w:tcW w:w="655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1DC35441" w14:textId="77777777" w:rsidR="00EC362B" w:rsidRPr="00EC362B" w:rsidRDefault="00EC362B" w:rsidP="00EC362B">
            <w:pPr>
              <w:pStyle w:val="Subhead"/>
            </w:pPr>
            <w:r w:rsidRPr="00EC362B">
              <w:t>Context for learning</w:t>
            </w:r>
          </w:p>
          <w:p w14:paraId="093E23EC" w14:textId="7BB81C21" w:rsidR="00EC362B" w:rsidRPr="00EC362B" w:rsidRDefault="00EC362B" w:rsidP="00EC362B">
            <w:pPr>
              <w:pStyle w:val="Copy"/>
              <w:rPr>
                <w:lang w:val="en-US"/>
              </w:rPr>
            </w:pPr>
            <w:r w:rsidRPr="00EC362B">
              <w:rPr>
                <w:lang w:val="en-US"/>
              </w:rPr>
              <w:t>Bill Fold is a fictional character who is constantly getting himself into financial scrapes. Use the scenario below to provide students with a context for learning.</w:t>
            </w:r>
          </w:p>
          <w:p w14:paraId="35240ACA" w14:textId="2FF4DAF2" w:rsidR="00EC362B" w:rsidRPr="00EB472A" w:rsidRDefault="00EC362B" w:rsidP="00EC362B">
            <w:pPr>
              <w:pStyle w:val="Copy"/>
            </w:pPr>
            <w:r w:rsidRPr="00EC362B">
              <w:rPr>
                <w:lang w:val="en-US"/>
              </w:rPr>
              <w:t xml:space="preserve">Bill Fold is a local politician who is considering the benefits and costs of increasing urban development beyond city limits. He is asking for your help to perform an analysis </w:t>
            </w:r>
            <w:proofErr w:type="gramStart"/>
            <w:r w:rsidRPr="00EC362B">
              <w:rPr>
                <w:lang w:val="en-US"/>
              </w:rPr>
              <w:t>in order to</w:t>
            </w:r>
            <w:proofErr w:type="gramEnd"/>
            <w:r w:rsidRPr="00EC362B">
              <w:rPr>
                <w:lang w:val="en-US"/>
              </w:rPr>
              <w:t xml:space="preserve"> determine whether to support the expansion of city limits and propose this initiative to the council.</w:t>
            </w:r>
          </w:p>
        </w:tc>
        <w:tc>
          <w:tcPr>
            <w:tcW w:w="3138" w:type="dxa"/>
            <w:tcBorders>
              <w:top w:val="nil"/>
              <w:left w:val="single" w:sz="8" w:space="0" w:color="54B948"/>
              <w:bottom w:val="nil"/>
              <w:right w:val="single" w:sz="8" w:space="0" w:color="54B948"/>
            </w:tcBorders>
            <w:tcMar>
              <w:top w:w="173" w:type="dxa"/>
              <w:left w:w="259" w:type="dxa"/>
              <w:right w:w="115" w:type="dxa"/>
            </w:tcMar>
          </w:tcPr>
          <w:p w14:paraId="42BEC20C" w14:textId="77777777" w:rsidR="00EC362B" w:rsidRPr="004365A8" w:rsidRDefault="00EC362B" w:rsidP="00071EC5">
            <w:pPr>
              <w:pStyle w:val="Copy"/>
            </w:pPr>
          </w:p>
        </w:tc>
      </w:tr>
      <w:tr w:rsidR="00EB472A" w:rsidRPr="00FC75BD" w14:paraId="75CC3A5E" w14:textId="77777777" w:rsidTr="00EC362B">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62B93251" w14:textId="1518DB9D" w:rsidR="00EB472A" w:rsidRPr="00EB472A" w:rsidRDefault="00EB472A" w:rsidP="00071EC5">
            <w:pPr>
              <w:pStyle w:val="SectionHeading"/>
              <w:rPr>
                <w:b w:val="0"/>
              </w:rPr>
            </w:pPr>
            <w:r>
              <w:t>ACTION</w:t>
            </w:r>
          </w:p>
        </w:tc>
      </w:tr>
      <w:tr w:rsidR="00EB472A" w:rsidRPr="004365A8" w14:paraId="434D3C83" w14:textId="77777777" w:rsidTr="00EC362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6E82C66" w14:textId="77777777" w:rsidR="00EB472A" w:rsidRPr="00E80C32" w:rsidRDefault="00EB472A"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B8CEFD9" w14:textId="77777777" w:rsidR="00EC362B" w:rsidRPr="00EC362B" w:rsidRDefault="00EC362B" w:rsidP="00EC362B">
            <w:pPr>
              <w:pStyle w:val="Subhead"/>
            </w:pPr>
            <w:r w:rsidRPr="00EC362B">
              <w:t>Instruction: Urban economics</w:t>
            </w:r>
          </w:p>
          <w:p w14:paraId="48DA4168" w14:textId="77777777" w:rsidR="00EC362B" w:rsidRPr="00EC362B" w:rsidRDefault="00EC362B" w:rsidP="00EC362B">
            <w:pPr>
              <w:pStyle w:val="Copy"/>
              <w:rPr>
                <w:lang w:val="en-US"/>
              </w:rPr>
            </w:pPr>
            <w:r w:rsidRPr="00EC362B">
              <w:rPr>
                <w:lang w:val="en-US"/>
              </w:rPr>
              <w:t>A decision as to whether to expand a city would require an analysis of factors that would have positive and negative effects on the citizens. In the previous activity, you conducted a personal financial analysis using quantitative data to decide whether</w:t>
            </w:r>
          </w:p>
          <w:p w14:paraId="6300D07E" w14:textId="77777777" w:rsidR="00C27771" w:rsidRDefault="00EC362B" w:rsidP="00EC362B">
            <w:pPr>
              <w:pStyle w:val="Copy"/>
              <w:rPr>
                <w:lang w:val="en-US"/>
              </w:rPr>
            </w:pPr>
            <w:r w:rsidRPr="00EC362B">
              <w:rPr>
                <w:lang w:val="en-US"/>
              </w:rPr>
              <w:t>to live in the city or outside of the city. Now you will conduct a cost/benefit analysis considering qualitative and quantitative factors in relation to expansion of city limits.</w:t>
            </w:r>
          </w:p>
          <w:p w14:paraId="314B6936" w14:textId="77777777" w:rsidR="00EC362B" w:rsidRDefault="00EC362B" w:rsidP="00EC362B">
            <w:pPr>
              <w:pStyle w:val="IntroCopy"/>
            </w:pPr>
          </w:p>
          <w:p w14:paraId="193B5443" w14:textId="77777777" w:rsidR="00EC362B" w:rsidRPr="00EC362B" w:rsidRDefault="00EC362B" w:rsidP="00EC362B">
            <w:pPr>
              <w:pStyle w:val="Subhead"/>
            </w:pPr>
            <w:r w:rsidRPr="00EC362B">
              <w:t>Think-Pair-Share</w:t>
            </w:r>
          </w:p>
          <w:p w14:paraId="1A6F081A" w14:textId="0C86D2E1" w:rsidR="00EC362B" w:rsidRPr="00EC362B" w:rsidRDefault="00EC362B" w:rsidP="00EC362B">
            <w:pPr>
              <w:pStyle w:val="Copy"/>
              <w:rPr>
                <w:lang w:val="en-US"/>
              </w:rPr>
            </w:pPr>
            <w:r w:rsidRPr="00EC362B">
              <w:rPr>
                <w:lang w:val="en-US"/>
              </w:rPr>
              <w:t>Students to come up with possible effects of expanding the city limits and share their ideas with the class.</w:t>
            </w:r>
          </w:p>
          <w:p w14:paraId="30968950" w14:textId="77777777" w:rsidR="00EC362B" w:rsidRPr="00EC362B" w:rsidRDefault="00EC362B" w:rsidP="00EC362B">
            <w:pPr>
              <w:pStyle w:val="Copy"/>
              <w:rPr>
                <w:lang w:val="en-US"/>
              </w:rPr>
            </w:pPr>
            <w:r w:rsidRPr="00EC362B">
              <w:rPr>
                <w:lang w:val="en-US"/>
              </w:rPr>
              <w:t>Ensure that the following points are discussed:</w:t>
            </w:r>
          </w:p>
          <w:p w14:paraId="1A1EA0ED" w14:textId="77777777" w:rsidR="00EC362B" w:rsidRPr="00EC362B" w:rsidRDefault="00EC362B" w:rsidP="00EC362B">
            <w:pPr>
              <w:pStyle w:val="Bullet"/>
            </w:pPr>
            <w:r w:rsidRPr="00EC362B">
              <w:t>Higher costs to provide transportation services to those who live outside of the city</w:t>
            </w:r>
          </w:p>
          <w:p w14:paraId="241055ED" w14:textId="5E9EB229" w:rsidR="00EC362B" w:rsidRPr="00EC362B" w:rsidRDefault="00EC362B" w:rsidP="00EC362B">
            <w:pPr>
              <w:pStyle w:val="Bullet"/>
            </w:pPr>
            <w:r w:rsidRPr="00EC362B">
              <w:t>Psychological factors for citizens such as the stress of</w:t>
            </w:r>
            <w:r w:rsidR="00C80287">
              <w:t xml:space="preserve"> </w:t>
            </w:r>
            <w:r w:rsidRPr="00EC362B">
              <w:t>commuting</w:t>
            </w:r>
          </w:p>
          <w:p w14:paraId="21BD36EC" w14:textId="77777777" w:rsidR="00EC362B" w:rsidRPr="00EC362B" w:rsidRDefault="00EC362B" w:rsidP="00EC362B">
            <w:pPr>
              <w:pStyle w:val="Bullet"/>
            </w:pPr>
            <w:r w:rsidRPr="00EC362B">
              <w:t>The societal opportunity cost of lost time (i.e., travelling instead of working)</w:t>
            </w:r>
          </w:p>
          <w:p w14:paraId="72F0BCB2" w14:textId="77777777" w:rsidR="00EC362B" w:rsidRPr="00EC362B" w:rsidRDefault="00EC362B" w:rsidP="00EC362B">
            <w:pPr>
              <w:pStyle w:val="Bullet"/>
            </w:pPr>
            <w:r w:rsidRPr="00EC362B">
              <w:t>The ecological impact of urban development/expansion</w:t>
            </w:r>
          </w:p>
          <w:p w14:paraId="1883E503" w14:textId="77777777" w:rsidR="00EC362B" w:rsidRPr="00EC362B" w:rsidRDefault="00EC362B" w:rsidP="00EC362B">
            <w:pPr>
              <w:pStyle w:val="Bullet"/>
            </w:pPr>
            <w:r w:rsidRPr="00EC362B">
              <w:t>Restrictions on urban growth (e.g., greenbelts)</w:t>
            </w:r>
          </w:p>
          <w:p w14:paraId="16F570BF" w14:textId="77777777" w:rsidR="00EC362B" w:rsidRPr="00EC362B" w:rsidRDefault="00EC362B" w:rsidP="00EC362B">
            <w:pPr>
              <w:pStyle w:val="Bullet"/>
            </w:pPr>
            <w:r w:rsidRPr="00EC362B">
              <w:t>Lower property values</w:t>
            </w:r>
          </w:p>
          <w:p w14:paraId="60F2FBE4" w14:textId="77777777" w:rsidR="00EC362B" w:rsidRPr="00EC362B" w:rsidRDefault="00EC362B" w:rsidP="00EC362B">
            <w:pPr>
              <w:pStyle w:val="Bullet"/>
            </w:pPr>
            <w:r w:rsidRPr="00EC362B">
              <w:t>Impact on disposable income</w:t>
            </w:r>
          </w:p>
          <w:p w14:paraId="62C9AA32" w14:textId="64B655FB" w:rsidR="00EC362B" w:rsidRPr="00EB472A" w:rsidRDefault="00EC362B" w:rsidP="00EC362B">
            <w:pPr>
              <w:pStyle w:val="Bullet"/>
            </w:pPr>
            <w:r w:rsidRPr="00EC362B">
              <w:t>Other factors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D933460" w14:textId="2E6F1AA2" w:rsidR="00EB472A" w:rsidRPr="004365A8" w:rsidRDefault="00EB472A" w:rsidP="00EB472A">
            <w:pPr>
              <w:pStyle w:val="Copy"/>
            </w:pPr>
          </w:p>
        </w:tc>
      </w:tr>
    </w:tbl>
    <w:p w14:paraId="669E36BE" w14:textId="77777777" w:rsidR="00EC362B" w:rsidRDefault="00C27771">
      <w:r>
        <w:br w:type="page"/>
      </w:r>
    </w:p>
    <w:tbl>
      <w:tblPr>
        <w:tblStyle w:val="TableGrid"/>
        <w:tblW w:w="10784" w:type="dxa"/>
        <w:tblLayout w:type="fixed"/>
        <w:tblLook w:val="04A0" w:firstRow="1" w:lastRow="0" w:firstColumn="1" w:lastColumn="0" w:noHBand="0" w:noVBand="1"/>
      </w:tblPr>
      <w:tblGrid>
        <w:gridCol w:w="1094"/>
        <w:gridCol w:w="6552"/>
        <w:gridCol w:w="3138"/>
      </w:tblGrid>
      <w:tr w:rsidR="00EC362B" w:rsidRPr="00FC75BD" w14:paraId="572E3956"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EA713A1"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AA8E3F3" w14:textId="77777777" w:rsidR="00EC362B" w:rsidRPr="00FC75BD" w:rsidRDefault="00EC362B"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C3DC0A9"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814F5FF" w14:textId="77777777" w:rsidR="00EC362B" w:rsidRPr="00FC75BD" w:rsidRDefault="00EC362B"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C362B" w:rsidRPr="00FC75BD" w14:paraId="6D5092A3" w14:textId="77777777" w:rsidTr="00EC362B">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402F2FFB" w14:textId="4A956207" w:rsidR="00EC362B" w:rsidRPr="00EC362B" w:rsidRDefault="00EC362B" w:rsidP="00071EC5">
            <w:pPr>
              <w:pStyle w:val="SectionHeading"/>
              <w:rPr>
                <w:b w:val="0"/>
              </w:rPr>
            </w:pPr>
            <w:r>
              <w:t xml:space="preserve">ACTION </w:t>
            </w:r>
            <w:r>
              <w:rPr>
                <w:b w:val="0"/>
              </w:rPr>
              <w:t>(cont’d.)</w:t>
            </w:r>
          </w:p>
        </w:tc>
      </w:tr>
      <w:tr w:rsidR="00EC362B" w:rsidRPr="004365A8" w14:paraId="52CA806E" w14:textId="77777777" w:rsidTr="00EC362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7166AFB" w14:textId="77777777" w:rsidR="00EC362B" w:rsidRPr="00E80C32" w:rsidRDefault="00EC362B"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ADDB221" w14:textId="77777777" w:rsidR="00EC362B" w:rsidRPr="00EC362B" w:rsidRDefault="00EC362B" w:rsidP="00EC362B">
            <w:pPr>
              <w:pStyle w:val="Subhead"/>
            </w:pPr>
            <w:r w:rsidRPr="00EC362B">
              <w:t>Guided practice activity: The Greenbelt Plan case study</w:t>
            </w:r>
          </w:p>
          <w:p w14:paraId="32BF6B8C" w14:textId="61920167" w:rsidR="00EC362B" w:rsidRPr="00EC362B" w:rsidRDefault="00EC362B" w:rsidP="00EC362B">
            <w:pPr>
              <w:pStyle w:val="Copy"/>
              <w:rPr>
                <w:lang w:val="en-US"/>
              </w:rPr>
            </w:pPr>
            <w:r w:rsidRPr="00EC362B">
              <w:rPr>
                <w:lang w:val="en-US"/>
              </w:rPr>
              <w:t>Give students 10 minutes to read the passage in Appendix A. Ask students to identify the key case facts. Write their ideas on the board.</w:t>
            </w:r>
          </w:p>
          <w:p w14:paraId="748DB62B" w14:textId="77777777" w:rsidR="00EC362B" w:rsidRPr="00EC362B" w:rsidRDefault="00EC362B" w:rsidP="00EC362B">
            <w:pPr>
              <w:pStyle w:val="Copy"/>
              <w:rPr>
                <w:lang w:val="en-US"/>
              </w:rPr>
            </w:pPr>
            <w:r w:rsidRPr="00EC362B">
              <w:rPr>
                <w:lang w:val="en-US"/>
              </w:rPr>
              <w:t>Ask students to consider the following questions:</w:t>
            </w:r>
          </w:p>
          <w:p w14:paraId="7B92876E" w14:textId="77777777" w:rsidR="00EC362B" w:rsidRPr="00EC362B" w:rsidRDefault="00EC362B" w:rsidP="00EC362B">
            <w:pPr>
              <w:pStyle w:val="LetteredList"/>
            </w:pPr>
            <w:r w:rsidRPr="00EC362B">
              <w:t>Why did the government of Ontario introduce the Greenbelt Plan?</w:t>
            </w:r>
          </w:p>
          <w:p w14:paraId="3F6271E2" w14:textId="77777777" w:rsidR="00EC362B" w:rsidRPr="00EC362B" w:rsidRDefault="00EC362B" w:rsidP="00EC362B">
            <w:pPr>
              <w:pStyle w:val="LetteredList"/>
            </w:pPr>
            <w:r w:rsidRPr="00EC362B">
              <w:t>What benefits and costs of the greenbelt did the article show?</w:t>
            </w:r>
          </w:p>
          <w:p w14:paraId="3EB7CCBC" w14:textId="77777777" w:rsidR="00EC362B" w:rsidRPr="00EC362B" w:rsidRDefault="00EC362B" w:rsidP="00EC362B">
            <w:pPr>
              <w:pStyle w:val="LetteredList"/>
            </w:pPr>
            <w:r w:rsidRPr="00EC362B">
              <w:t>How would this plan impact your budget as an individual?</w:t>
            </w:r>
          </w:p>
          <w:p w14:paraId="2C3615C6" w14:textId="77777777" w:rsidR="00EC362B" w:rsidRPr="00EC362B" w:rsidRDefault="00EC362B" w:rsidP="00EC362B">
            <w:pPr>
              <w:pStyle w:val="LetteredList"/>
            </w:pPr>
            <w:r w:rsidRPr="00EC362B">
              <w:t>What advice would you give to Bill Fold, the politician?</w:t>
            </w:r>
          </w:p>
          <w:p w14:paraId="7AFB4B82" w14:textId="31EE1FBA" w:rsidR="00EC362B" w:rsidRPr="00EB472A" w:rsidRDefault="00EC362B" w:rsidP="00EC362B">
            <w:pPr>
              <w:pStyle w:val="LetteredList"/>
            </w:pPr>
            <w:r w:rsidRPr="00EC362B">
              <w:t>What impact does this plan have on property values?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58CBA0F" w14:textId="77777777" w:rsidR="00EC362B" w:rsidRPr="004365A8" w:rsidRDefault="00EC362B" w:rsidP="00071EC5">
            <w:pPr>
              <w:pStyle w:val="Copy"/>
            </w:pPr>
          </w:p>
        </w:tc>
      </w:tr>
      <w:tr w:rsidR="00EC362B" w:rsidRPr="004365A8" w14:paraId="36B3276B" w14:textId="77777777" w:rsidTr="00EC362B">
        <w:trPr>
          <w:trHeight w:val="419"/>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7BD627D" w14:textId="77777777" w:rsidR="00EC362B" w:rsidRPr="00E80C32" w:rsidRDefault="00EC362B" w:rsidP="00071EC5">
            <w:pPr>
              <w:pStyle w:val="CopyCentred"/>
            </w:pPr>
          </w:p>
        </w:tc>
        <w:tc>
          <w:tcPr>
            <w:tcW w:w="655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01B4DDD1" w14:textId="06A43081" w:rsidR="00EC362B" w:rsidRPr="00EC362B" w:rsidRDefault="00EC362B" w:rsidP="00EC362B">
            <w:pPr>
              <w:pStyle w:val="Subhead"/>
              <w:rPr>
                <w:lang w:val="en-US"/>
              </w:rPr>
            </w:pPr>
            <w:r w:rsidRPr="00EC362B">
              <w:rPr>
                <w:lang w:val="en-US"/>
              </w:rPr>
              <w:t>Extension:</w:t>
            </w:r>
            <w:r w:rsidR="00C80287">
              <w:rPr>
                <w:lang w:val="en-US"/>
              </w:rPr>
              <w:t xml:space="preserve"> </w:t>
            </w:r>
            <w:r w:rsidRPr="00EC362B">
              <w:rPr>
                <w:lang w:val="en-US"/>
              </w:rPr>
              <w:t>Renting in an urban vs rural setting</w:t>
            </w:r>
          </w:p>
          <w:p w14:paraId="12AE3CDF" w14:textId="77777777" w:rsidR="00EC362B" w:rsidRPr="00EC362B" w:rsidRDefault="00EC362B" w:rsidP="00EC362B">
            <w:pPr>
              <w:pStyle w:val="Subhead"/>
              <w:rPr>
                <w:lang w:val="en-US"/>
              </w:rPr>
            </w:pPr>
            <w:r w:rsidRPr="00EC362B">
              <w:rPr>
                <w:lang w:val="en-US"/>
              </w:rPr>
              <w:t>Class discussion</w:t>
            </w:r>
          </w:p>
          <w:p w14:paraId="4F985DED" w14:textId="77777777" w:rsidR="00EC362B" w:rsidRDefault="00EC362B" w:rsidP="00EC362B">
            <w:pPr>
              <w:pStyle w:val="Copy"/>
            </w:pPr>
            <w:r w:rsidRPr="00EC362B">
              <w:t xml:space="preserve">People can choose two options </w:t>
            </w:r>
            <w:proofErr w:type="gramStart"/>
            <w:r w:rsidRPr="00EC362B">
              <w:t>in regards to</w:t>
            </w:r>
            <w:proofErr w:type="gramEnd"/>
            <w:r w:rsidRPr="00EC362B">
              <w:t xml:space="preserve"> housing. They can either rent, or they can buy. Renting typically means that the individual will pay a fee </w:t>
            </w:r>
            <w:proofErr w:type="gramStart"/>
            <w:r w:rsidRPr="00EC362B">
              <w:t>on a monthly basis</w:t>
            </w:r>
            <w:proofErr w:type="gramEnd"/>
            <w:r w:rsidRPr="00EC362B">
              <w:t xml:space="preserve"> to make use of a dwelling. In contrast, owners do not need to pay a fee. However, they may buy their property with debt (mortgage) from a financial institution, which will need to be repaid.</w:t>
            </w:r>
          </w:p>
          <w:p w14:paraId="1D472A88" w14:textId="77777777" w:rsidR="00EC362B" w:rsidRDefault="00EC362B" w:rsidP="00EC362B">
            <w:pPr>
              <w:pStyle w:val="SpaceBetween"/>
            </w:pPr>
          </w:p>
          <w:tbl>
            <w:tblPr>
              <w:tblStyle w:val="TableGrid"/>
              <w:tblW w:w="6024"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ayout w:type="fixed"/>
              <w:tblLook w:val="04A0" w:firstRow="1" w:lastRow="0" w:firstColumn="1" w:lastColumn="0" w:noHBand="0" w:noVBand="1"/>
            </w:tblPr>
            <w:tblGrid>
              <w:gridCol w:w="2413"/>
              <w:gridCol w:w="1805"/>
              <w:gridCol w:w="1806"/>
            </w:tblGrid>
            <w:tr w:rsidR="00EC362B" w14:paraId="7E969D6A" w14:textId="77777777" w:rsidTr="00FC79C8">
              <w:trPr>
                <w:trHeight w:val="360"/>
              </w:trPr>
              <w:tc>
                <w:tcPr>
                  <w:tcW w:w="2413" w:type="dxa"/>
                  <w:shd w:val="clear" w:color="auto" w:fill="3F708E"/>
                  <w:vAlign w:val="center"/>
                </w:tcPr>
                <w:p w14:paraId="54F26201" w14:textId="187DD330" w:rsidR="00EC362B" w:rsidRDefault="00EC362B" w:rsidP="00FC79C8">
                  <w:pPr>
                    <w:pStyle w:val="BlueChartHeadingLeft"/>
                  </w:pPr>
                  <w:r>
                    <w:t>Category</w:t>
                  </w:r>
                </w:p>
              </w:tc>
              <w:tc>
                <w:tcPr>
                  <w:tcW w:w="1805" w:type="dxa"/>
                  <w:shd w:val="clear" w:color="auto" w:fill="3F708E"/>
                  <w:vAlign w:val="center"/>
                </w:tcPr>
                <w:p w14:paraId="71A6A417" w14:textId="2E1BA949" w:rsidR="00EC362B" w:rsidRDefault="00EC362B" w:rsidP="00FC79C8">
                  <w:pPr>
                    <w:pStyle w:val="BlueChartHeadingLeft"/>
                  </w:pPr>
                  <w:r>
                    <w:t>Urban</w:t>
                  </w:r>
                </w:p>
              </w:tc>
              <w:tc>
                <w:tcPr>
                  <w:tcW w:w="1806" w:type="dxa"/>
                  <w:shd w:val="clear" w:color="auto" w:fill="3F708E"/>
                  <w:vAlign w:val="center"/>
                </w:tcPr>
                <w:p w14:paraId="20F1FD7E" w14:textId="763A2EFB" w:rsidR="00EC362B" w:rsidRDefault="00EC362B" w:rsidP="00FC79C8">
                  <w:pPr>
                    <w:pStyle w:val="BlueChartHeadingLeft"/>
                  </w:pPr>
                  <w:r>
                    <w:t>Rural</w:t>
                  </w:r>
                </w:p>
              </w:tc>
            </w:tr>
            <w:tr w:rsidR="00EC362B" w14:paraId="0FEACE2E" w14:textId="77777777" w:rsidTr="00FC79C8">
              <w:trPr>
                <w:trHeight w:val="360"/>
              </w:trPr>
              <w:tc>
                <w:tcPr>
                  <w:tcW w:w="2413" w:type="dxa"/>
                  <w:vAlign w:val="center"/>
                </w:tcPr>
                <w:p w14:paraId="7321F91F" w14:textId="31294EBE" w:rsidR="00EC362B" w:rsidRDefault="00EC362B" w:rsidP="00EC362B">
                  <w:pPr>
                    <w:pStyle w:val="IntroCopy"/>
                  </w:pPr>
                  <w:r>
                    <w:t>Property prices</w:t>
                  </w:r>
                </w:p>
              </w:tc>
              <w:tc>
                <w:tcPr>
                  <w:tcW w:w="1805" w:type="dxa"/>
                  <w:vAlign w:val="center"/>
                </w:tcPr>
                <w:p w14:paraId="795EFFC9" w14:textId="18BE96BC" w:rsidR="00EC362B" w:rsidRDefault="00EC362B" w:rsidP="00EC362B">
                  <w:pPr>
                    <w:pStyle w:val="IntroCopy"/>
                  </w:pPr>
                  <w:r>
                    <w:t>Likely higher</w:t>
                  </w:r>
                </w:p>
              </w:tc>
              <w:tc>
                <w:tcPr>
                  <w:tcW w:w="1806" w:type="dxa"/>
                  <w:vAlign w:val="center"/>
                </w:tcPr>
                <w:p w14:paraId="4C87C704" w14:textId="62A95741" w:rsidR="00EC362B" w:rsidRDefault="00EC362B" w:rsidP="00EC362B">
                  <w:pPr>
                    <w:pStyle w:val="IntroCopy"/>
                  </w:pPr>
                  <w:r>
                    <w:t>Likely lower</w:t>
                  </w:r>
                </w:p>
              </w:tc>
            </w:tr>
            <w:tr w:rsidR="00EC362B" w14:paraId="059C3129" w14:textId="77777777" w:rsidTr="00FC79C8">
              <w:trPr>
                <w:trHeight w:val="360"/>
              </w:trPr>
              <w:tc>
                <w:tcPr>
                  <w:tcW w:w="2413" w:type="dxa"/>
                  <w:vAlign w:val="center"/>
                </w:tcPr>
                <w:p w14:paraId="3DF47980" w14:textId="158531DB" w:rsidR="00EC362B" w:rsidRDefault="00EC362B" w:rsidP="00EC362B">
                  <w:pPr>
                    <w:pStyle w:val="IntroCopy"/>
                  </w:pPr>
                  <w:r>
                    <w:t>Lifestyle</w:t>
                  </w:r>
                </w:p>
              </w:tc>
              <w:tc>
                <w:tcPr>
                  <w:tcW w:w="1805" w:type="dxa"/>
                  <w:vAlign w:val="center"/>
                </w:tcPr>
                <w:p w14:paraId="66E60594" w14:textId="7CD87072" w:rsidR="00EC362B" w:rsidRDefault="00EC362B" w:rsidP="00EC362B">
                  <w:pPr>
                    <w:pStyle w:val="IntroCopy"/>
                  </w:pPr>
                  <w:r>
                    <w:t>More active</w:t>
                  </w:r>
                </w:p>
              </w:tc>
              <w:tc>
                <w:tcPr>
                  <w:tcW w:w="1806" w:type="dxa"/>
                  <w:vAlign w:val="center"/>
                </w:tcPr>
                <w:p w14:paraId="2170F60E" w14:textId="21DA7565" w:rsidR="00EC362B" w:rsidRDefault="00EC362B" w:rsidP="00EC362B">
                  <w:pPr>
                    <w:pStyle w:val="IntroCopy"/>
                  </w:pPr>
                  <w:r>
                    <w:t>More sedentary</w:t>
                  </w:r>
                </w:p>
              </w:tc>
            </w:tr>
            <w:tr w:rsidR="00EC362B" w14:paraId="6B3D06BB" w14:textId="77777777" w:rsidTr="00FC79C8">
              <w:trPr>
                <w:trHeight w:val="360"/>
              </w:trPr>
              <w:tc>
                <w:tcPr>
                  <w:tcW w:w="2413" w:type="dxa"/>
                  <w:vAlign w:val="center"/>
                </w:tcPr>
                <w:p w14:paraId="54169C9A" w14:textId="31D65ED9" w:rsidR="00EC362B" w:rsidRDefault="00EC362B" w:rsidP="00EC362B">
                  <w:pPr>
                    <w:pStyle w:val="IntroCopy"/>
                  </w:pPr>
                  <w:r>
                    <w:t>Cost of living</w:t>
                  </w:r>
                </w:p>
              </w:tc>
              <w:tc>
                <w:tcPr>
                  <w:tcW w:w="1805" w:type="dxa"/>
                  <w:vAlign w:val="center"/>
                </w:tcPr>
                <w:p w14:paraId="0282AE52" w14:textId="165EC326" w:rsidR="00EC362B" w:rsidRDefault="00EC362B" w:rsidP="00EC362B">
                  <w:pPr>
                    <w:pStyle w:val="IntroCopy"/>
                  </w:pPr>
                  <w:r>
                    <w:t>Higher</w:t>
                  </w:r>
                </w:p>
              </w:tc>
              <w:tc>
                <w:tcPr>
                  <w:tcW w:w="1806" w:type="dxa"/>
                  <w:vAlign w:val="center"/>
                </w:tcPr>
                <w:p w14:paraId="6A662241" w14:textId="53AFFF1A" w:rsidR="00EC362B" w:rsidRDefault="00EC362B" w:rsidP="00EC362B">
                  <w:pPr>
                    <w:pStyle w:val="IntroCopy"/>
                  </w:pPr>
                  <w:r>
                    <w:t>Lower</w:t>
                  </w:r>
                </w:p>
              </w:tc>
            </w:tr>
            <w:tr w:rsidR="00EC362B" w14:paraId="37F49F56" w14:textId="77777777" w:rsidTr="00FC79C8">
              <w:trPr>
                <w:trHeight w:val="360"/>
              </w:trPr>
              <w:tc>
                <w:tcPr>
                  <w:tcW w:w="2413" w:type="dxa"/>
                  <w:vAlign w:val="center"/>
                </w:tcPr>
                <w:p w14:paraId="1F383317" w14:textId="08017ED5" w:rsidR="00EC362B" w:rsidRDefault="00EC362B" w:rsidP="00EC362B">
                  <w:pPr>
                    <w:pStyle w:val="IntroCopy"/>
                  </w:pPr>
                  <w:r>
                    <w:t>Transportation</w:t>
                  </w:r>
                </w:p>
              </w:tc>
              <w:tc>
                <w:tcPr>
                  <w:tcW w:w="1805" w:type="dxa"/>
                  <w:vAlign w:val="center"/>
                </w:tcPr>
                <w:p w14:paraId="4A0CB646" w14:textId="4C71347D" w:rsidR="00EC362B" w:rsidRDefault="00EC362B" w:rsidP="00EC362B">
                  <w:pPr>
                    <w:pStyle w:val="IntroCopy"/>
                  </w:pPr>
                  <w:r>
                    <w:t>Easy access</w:t>
                  </w:r>
                </w:p>
              </w:tc>
              <w:tc>
                <w:tcPr>
                  <w:tcW w:w="1806" w:type="dxa"/>
                  <w:vAlign w:val="center"/>
                </w:tcPr>
                <w:p w14:paraId="64B968C1" w14:textId="03D313EC" w:rsidR="00EC362B" w:rsidRDefault="00EC362B" w:rsidP="00EC362B">
                  <w:pPr>
                    <w:pStyle w:val="IntroCopy"/>
                  </w:pPr>
                  <w:r>
                    <w:t>Limited access</w:t>
                  </w:r>
                </w:p>
              </w:tc>
            </w:tr>
            <w:tr w:rsidR="00EC362B" w14:paraId="4E5C8C82" w14:textId="77777777" w:rsidTr="00FC79C8">
              <w:trPr>
                <w:trHeight w:val="360"/>
              </w:trPr>
              <w:tc>
                <w:tcPr>
                  <w:tcW w:w="2413" w:type="dxa"/>
                  <w:vAlign w:val="center"/>
                </w:tcPr>
                <w:p w14:paraId="3E917D4F" w14:textId="3C6B563F" w:rsidR="00EC362B" w:rsidRDefault="00EC362B" w:rsidP="00EC362B">
                  <w:pPr>
                    <w:pStyle w:val="IntroCopy"/>
                  </w:pPr>
                  <w:r>
                    <w:t>Community-oriented</w:t>
                  </w:r>
                </w:p>
              </w:tc>
              <w:tc>
                <w:tcPr>
                  <w:tcW w:w="1805" w:type="dxa"/>
                  <w:vAlign w:val="center"/>
                </w:tcPr>
                <w:p w14:paraId="6E811C15" w14:textId="2DF77548" w:rsidR="00EC362B" w:rsidRDefault="00EC362B" w:rsidP="00EC362B">
                  <w:pPr>
                    <w:pStyle w:val="IntroCopy"/>
                  </w:pPr>
                  <w:r>
                    <w:t>Not likely</w:t>
                  </w:r>
                </w:p>
              </w:tc>
              <w:tc>
                <w:tcPr>
                  <w:tcW w:w="1806" w:type="dxa"/>
                  <w:vAlign w:val="center"/>
                </w:tcPr>
                <w:p w14:paraId="6A1F5068" w14:textId="095B04C8" w:rsidR="00EC362B" w:rsidRDefault="00EC362B" w:rsidP="00EC362B">
                  <w:pPr>
                    <w:pStyle w:val="IntroCopy"/>
                  </w:pPr>
                  <w:r>
                    <w:t>Most likely</w:t>
                  </w:r>
                </w:p>
              </w:tc>
            </w:tr>
          </w:tbl>
          <w:p w14:paraId="1263DA6B" w14:textId="77777777" w:rsidR="00EC362B" w:rsidRDefault="00EC362B" w:rsidP="00EC362B">
            <w:pPr>
              <w:pStyle w:val="SpaceBetween"/>
            </w:pPr>
          </w:p>
          <w:p w14:paraId="077807FE" w14:textId="06BF1E86" w:rsidR="00EC362B" w:rsidRPr="00EC362B" w:rsidRDefault="00EC362B" w:rsidP="00EC362B">
            <w:pPr>
              <w:pStyle w:val="Copy"/>
            </w:pPr>
            <w:r w:rsidRPr="00EC362B">
              <w:rPr>
                <w:lang w:val="en-US"/>
              </w:rPr>
              <w:t>Given these facts, which environment (urban or rural) is it relatively more advantageous for an individual to buy their property? To rent their property?</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2D73FB1" w14:textId="77777777" w:rsidR="00EC362B" w:rsidRPr="004365A8" w:rsidRDefault="00EC362B" w:rsidP="00071EC5">
            <w:pPr>
              <w:pStyle w:val="Copy"/>
            </w:pPr>
          </w:p>
        </w:tc>
      </w:tr>
    </w:tbl>
    <w:p w14:paraId="4E7838FC" w14:textId="10389AFB" w:rsidR="00EC362B" w:rsidRDefault="00EC362B">
      <w:r>
        <w:br w:type="page"/>
      </w:r>
    </w:p>
    <w:p w14:paraId="232CFED3" w14:textId="77777777" w:rsidR="00C27771" w:rsidRDefault="00C27771">
      <w:pPr>
        <w:rPr>
          <w:rFonts w:ascii="Verdana" w:hAnsi="Verdana" w:cs="Arial"/>
          <w:sz w:val="14"/>
          <w:szCs w:val="14"/>
        </w:rPr>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27771" w:rsidRPr="00FC75BD" w14:paraId="36450D16" w14:textId="77777777" w:rsidTr="00071EC5">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D26D43E"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5A93FE4" w14:textId="77777777" w:rsidR="00C27771" w:rsidRPr="00FC75BD" w:rsidRDefault="00C2777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04E0D9"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B32C891"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7771" w:rsidRPr="00FC75BD" w14:paraId="39F18905"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A2C20C1" w14:textId="6FCA2A4A" w:rsidR="00C27771" w:rsidRPr="00C27771" w:rsidRDefault="00C27771" w:rsidP="00071EC5">
            <w:pPr>
              <w:pStyle w:val="SectionHeading"/>
              <w:rPr>
                <w:b w:val="0"/>
              </w:rPr>
            </w:pPr>
            <w:r w:rsidRPr="002407EE">
              <w:t>CONSOLIDATION/DEBRIEF</w:t>
            </w:r>
          </w:p>
        </w:tc>
      </w:tr>
      <w:tr w:rsidR="00C27771" w:rsidRPr="004365A8" w14:paraId="78229E5C"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22256CB" w14:textId="77777777" w:rsidR="00C27771" w:rsidRPr="00E80C32" w:rsidRDefault="00C2777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3344B88" w14:textId="77777777" w:rsidR="00FC79C8" w:rsidRPr="00FC79C8" w:rsidRDefault="00FC79C8" w:rsidP="00FC79C8">
            <w:pPr>
              <w:pStyle w:val="Subhead"/>
            </w:pPr>
            <w:r w:rsidRPr="00FC79C8">
              <w:t>Class discussion</w:t>
            </w:r>
          </w:p>
          <w:p w14:paraId="389DBCF7" w14:textId="2F6F66FA" w:rsidR="00FC79C8" w:rsidRPr="00FC79C8" w:rsidRDefault="00FC79C8" w:rsidP="00FC79C8">
            <w:pPr>
              <w:pStyle w:val="Copy"/>
              <w:rPr>
                <w:lang w:val="en-US"/>
              </w:rPr>
            </w:pPr>
            <w:r w:rsidRPr="00FC79C8">
              <w:rPr>
                <w:lang w:val="en-US"/>
              </w:rPr>
              <w:t xml:space="preserve">In order to help </w:t>
            </w:r>
            <w:proofErr w:type="gramStart"/>
            <w:r w:rsidRPr="00FC79C8">
              <w:rPr>
                <w:lang w:val="en-US"/>
              </w:rPr>
              <w:t>students</w:t>
            </w:r>
            <w:proofErr w:type="gramEnd"/>
            <w:r w:rsidRPr="00FC79C8">
              <w:rPr>
                <w:lang w:val="en-US"/>
              </w:rPr>
              <w:t xml:space="preserve"> make connections between geography and personal finance, engage students in a discussion using the following questions as a guide:</w:t>
            </w:r>
          </w:p>
          <w:p w14:paraId="16672873" w14:textId="77777777" w:rsidR="00FC79C8" w:rsidRPr="00FC79C8" w:rsidRDefault="00FC79C8" w:rsidP="00FC79C8">
            <w:pPr>
              <w:pStyle w:val="NumberedList"/>
              <w:numPr>
                <w:ilvl w:val="0"/>
                <w:numId w:val="39"/>
              </w:numPr>
              <w:ind w:left="259" w:hanging="259"/>
            </w:pPr>
            <w:r w:rsidRPr="00FC79C8">
              <w:t>What geographical factors should individuals consider when making the decision to live inside or outside a city?</w:t>
            </w:r>
          </w:p>
          <w:p w14:paraId="0E8779A7" w14:textId="77777777" w:rsidR="00FC79C8" w:rsidRPr="00FC79C8" w:rsidRDefault="00FC79C8" w:rsidP="00FC79C8">
            <w:pPr>
              <w:pStyle w:val="NumberedList"/>
              <w:numPr>
                <w:ilvl w:val="0"/>
                <w:numId w:val="39"/>
              </w:numPr>
              <w:ind w:left="259" w:hanging="259"/>
            </w:pPr>
            <w:r w:rsidRPr="00FC79C8">
              <w:t>What factors should society consider when deciding whether to expand a city beyond current limits?</w:t>
            </w:r>
          </w:p>
          <w:p w14:paraId="7E52C625" w14:textId="77777777" w:rsidR="00FC79C8" w:rsidRPr="00FC79C8" w:rsidRDefault="00FC79C8" w:rsidP="00FC79C8">
            <w:pPr>
              <w:pStyle w:val="NumberedList"/>
              <w:numPr>
                <w:ilvl w:val="0"/>
                <w:numId w:val="39"/>
              </w:numPr>
              <w:ind w:left="259" w:hanging="259"/>
            </w:pPr>
            <w:r w:rsidRPr="00FC79C8">
              <w:t>Where is renting more advantageous – in an urban or rural setting?</w:t>
            </w:r>
          </w:p>
          <w:p w14:paraId="48886869" w14:textId="77777777" w:rsidR="00FC79C8" w:rsidRPr="00FC79C8" w:rsidRDefault="00FC79C8" w:rsidP="00FC79C8">
            <w:pPr>
              <w:pStyle w:val="IntroCopy"/>
            </w:pPr>
          </w:p>
          <w:p w14:paraId="341A5E6F" w14:textId="77777777" w:rsidR="00FC79C8" w:rsidRPr="00FC79C8" w:rsidRDefault="00FC79C8" w:rsidP="00FC79C8">
            <w:pPr>
              <w:pStyle w:val="Subhead"/>
            </w:pPr>
            <w:r w:rsidRPr="00FC79C8">
              <w:t>Closing reflection</w:t>
            </w:r>
          </w:p>
          <w:p w14:paraId="5695DF13" w14:textId="15411C80" w:rsidR="00FC79C8" w:rsidRPr="00FC79C8" w:rsidRDefault="00FC79C8" w:rsidP="00FC79C8">
            <w:pPr>
              <w:pStyle w:val="Copy"/>
              <w:rPr>
                <w:lang w:val="en-US"/>
              </w:rPr>
            </w:pPr>
            <w:r w:rsidRPr="00FC79C8">
              <w:rPr>
                <w:lang w:val="en-US"/>
              </w:rPr>
              <w:t>Write the following question on the board: “What is the economic/social/political risk of letting our cities expand?”</w:t>
            </w:r>
          </w:p>
          <w:p w14:paraId="0E0CF9EA" w14:textId="4E9BD2D0" w:rsidR="00C27771" w:rsidRPr="00C27771" w:rsidRDefault="00FC79C8" w:rsidP="00FC79C8">
            <w:pPr>
              <w:pStyle w:val="Copy"/>
            </w:pPr>
            <w:r w:rsidRPr="00FC79C8">
              <w:rPr>
                <w:lang w:val="en-US"/>
              </w:rPr>
              <w:t>Ask students to use what they have learned today about geography and cost/benefit analysis to respond to this question in a half-page reflection. Student reflection sheets should be handed in and assessed as an assessment for learning.</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2DC4A7F" w14:textId="77777777" w:rsidR="00C27771" w:rsidRPr="00E90EB1" w:rsidRDefault="00C27771" w:rsidP="00071EC5">
            <w:pPr>
              <w:pStyle w:val="Copy"/>
              <w:rPr>
                <w:lang w:val="en-US"/>
              </w:rPr>
            </w:pPr>
          </w:p>
        </w:tc>
      </w:tr>
    </w:tbl>
    <w:p w14:paraId="1225C544" w14:textId="77777777" w:rsidR="00A006EC" w:rsidRDefault="00A006EC" w:rsidP="00A262BC">
      <w:pPr>
        <w:pStyle w:val="SpaceBetween"/>
      </w:pPr>
    </w:p>
    <w:p w14:paraId="752F0425" w14:textId="77777777" w:rsidR="00C27771" w:rsidRDefault="00C27771" w:rsidP="00A262BC">
      <w:pPr>
        <w:pStyle w:val="SpaceBetween"/>
      </w:pPr>
    </w:p>
    <w:p w14:paraId="43DBAA73" w14:textId="77777777" w:rsidR="00C27771" w:rsidRDefault="00C27771" w:rsidP="00A262BC">
      <w:pPr>
        <w:pStyle w:val="SpaceBetween"/>
        <w:sectPr w:rsidR="00C27771"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B164992" w:rsidR="00912080" w:rsidRPr="003171D9" w:rsidRDefault="003B38E8" w:rsidP="00847E16">
            <w:pPr>
              <w:pStyle w:val="AppendixName"/>
            </w:pPr>
            <w:r w:rsidRPr="003B38E8">
              <w:rPr>
                <w:lang w:val="en-US"/>
              </w:rPr>
              <w:lastRenderedPageBreak/>
              <w:t>The Greenbelt Plan</w:t>
            </w:r>
          </w:p>
        </w:tc>
      </w:tr>
      <w:tr w:rsidR="00912080" w14:paraId="76CAD30A" w14:textId="77777777" w:rsidTr="003171D9">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57BE73" w14:textId="77777777" w:rsidR="003B38E8" w:rsidRPr="003B38E8" w:rsidRDefault="003B38E8" w:rsidP="003B38E8">
            <w:pPr>
              <w:pStyle w:val="Copy"/>
              <w:rPr>
                <w:lang w:val="en-US"/>
              </w:rPr>
            </w:pPr>
            <w:r w:rsidRPr="003B38E8">
              <w:rPr>
                <w:lang w:val="en-US"/>
              </w:rPr>
              <w:t>The Golden Horseshoe is one of the fastest growing regions in North America.</w:t>
            </w:r>
          </w:p>
          <w:p w14:paraId="04320B70" w14:textId="77777777" w:rsidR="003B38E8" w:rsidRPr="003B38E8" w:rsidRDefault="003B38E8" w:rsidP="003B38E8">
            <w:pPr>
              <w:pStyle w:val="Copy"/>
              <w:rPr>
                <w:b/>
                <w:lang w:val="en-US"/>
              </w:rPr>
            </w:pPr>
          </w:p>
          <w:p w14:paraId="0EED6A02" w14:textId="77777777" w:rsidR="003B38E8" w:rsidRPr="003B38E8" w:rsidRDefault="003B38E8" w:rsidP="003B38E8">
            <w:pPr>
              <w:pStyle w:val="Copy"/>
              <w:rPr>
                <w:lang w:val="en-US"/>
              </w:rPr>
            </w:pPr>
            <w:r w:rsidRPr="003B38E8">
              <w:rPr>
                <w:lang w:val="en-US"/>
              </w:rPr>
              <w:t>The Greenbelt is a cornerstone of Ontario’s proposed Greater Golden Horseshoe Growth Plan which is an overarching strategy that will provide clarity and certainty about urban structure, where and how future growth should be accommodated, and what must be protected for current and future generations.</w:t>
            </w:r>
          </w:p>
          <w:p w14:paraId="4508898C" w14:textId="77777777" w:rsidR="003B38E8" w:rsidRPr="003B38E8" w:rsidRDefault="003B38E8" w:rsidP="003B38E8">
            <w:pPr>
              <w:pStyle w:val="Copy"/>
              <w:rPr>
                <w:b/>
                <w:lang w:val="en-US"/>
              </w:rPr>
            </w:pPr>
          </w:p>
          <w:p w14:paraId="739189E3" w14:textId="77777777" w:rsidR="003B38E8" w:rsidRPr="003B38E8" w:rsidRDefault="003B38E8" w:rsidP="003B38E8">
            <w:pPr>
              <w:pStyle w:val="Copy"/>
              <w:rPr>
                <w:lang w:val="en-US"/>
              </w:rPr>
            </w:pPr>
            <w:r w:rsidRPr="003B38E8">
              <w:rPr>
                <w:lang w:val="en-US"/>
              </w:rPr>
              <w:t xml:space="preserve">The Greenbelt Plan identifies where urbanization should not occur </w:t>
            </w:r>
            <w:proofErr w:type="gramStart"/>
            <w:r w:rsidRPr="003B38E8">
              <w:rPr>
                <w:lang w:val="en-US"/>
              </w:rPr>
              <w:t>in order to</w:t>
            </w:r>
            <w:proofErr w:type="gramEnd"/>
            <w:r w:rsidRPr="003B38E8">
              <w:rPr>
                <w:lang w:val="en-US"/>
              </w:rPr>
              <w:t xml:space="preserve"> provide permanent protection to the agricultural land base and the ecological features and functions occurring on this landscape.</w:t>
            </w:r>
          </w:p>
          <w:p w14:paraId="3163B4FD" w14:textId="77777777" w:rsidR="003B38E8" w:rsidRPr="003B38E8" w:rsidRDefault="003B38E8" w:rsidP="003B38E8">
            <w:pPr>
              <w:pStyle w:val="Copy"/>
              <w:rPr>
                <w:b/>
                <w:lang w:val="en-US"/>
              </w:rPr>
            </w:pPr>
          </w:p>
          <w:p w14:paraId="32BED92F" w14:textId="63B91712" w:rsidR="003B38E8" w:rsidRPr="003B38E8" w:rsidRDefault="003B38E8" w:rsidP="003B38E8">
            <w:pPr>
              <w:pStyle w:val="Copy"/>
              <w:rPr>
                <w:lang w:val="en-US"/>
              </w:rPr>
            </w:pPr>
            <w:r w:rsidRPr="003B38E8">
              <w:rPr>
                <w:lang w:val="en-US"/>
              </w:rPr>
              <w:t xml:space="preserve">The Greenbelt Plan includes lands within, and builds upon the ecological protections provided </w:t>
            </w:r>
            <w:r w:rsidR="008B698E">
              <w:rPr>
                <w:lang w:val="en-US"/>
              </w:rPr>
              <w:t xml:space="preserve">by, </w:t>
            </w:r>
            <w:r w:rsidRPr="003B38E8">
              <w:rPr>
                <w:lang w:val="en-US"/>
              </w:rPr>
              <w:t>the Niagara Escarpment Plan (NEP) and the Oak Ridges Moraine Conservation Plan (</w:t>
            </w:r>
            <w:proofErr w:type="spellStart"/>
            <w:r w:rsidRPr="003B38E8">
              <w:rPr>
                <w:lang w:val="en-US"/>
              </w:rPr>
              <w:t>ORMCP</w:t>
            </w:r>
            <w:proofErr w:type="spellEnd"/>
            <w:r w:rsidRPr="003B38E8">
              <w:rPr>
                <w:lang w:val="en-US"/>
              </w:rPr>
              <w:t>). It also</w:t>
            </w:r>
            <w:r w:rsidR="008B698E">
              <w:rPr>
                <w:lang w:val="en-US"/>
              </w:rPr>
              <w:t xml:space="preserve"> </w:t>
            </w:r>
            <w:r w:rsidRPr="003B38E8">
              <w:rPr>
                <w:lang w:val="en-US"/>
              </w:rPr>
              <w:t>complements and supports other provincial level initiatives such as the Parkway Belt West Plan and the Rouge North Management Plan.</w:t>
            </w:r>
          </w:p>
          <w:p w14:paraId="5E9EB5DE" w14:textId="77777777" w:rsidR="003B38E8" w:rsidRPr="003B38E8" w:rsidRDefault="003B38E8" w:rsidP="003B38E8">
            <w:pPr>
              <w:pStyle w:val="Copy"/>
              <w:rPr>
                <w:b/>
                <w:lang w:val="en-US"/>
              </w:rPr>
            </w:pPr>
          </w:p>
          <w:p w14:paraId="09B3DEAB" w14:textId="77777777" w:rsidR="003B38E8" w:rsidRPr="003B38E8" w:rsidRDefault="003B38E8" w:rsidP="003B38E8">
            <w:pPr>
              <w:pStyle w:val="Copy"/>
              <w:rPr>
                <w:lang w:val="en-US"/>
              </w:rPr>
            </w:pPr>
            <w:r w:rsidRPr="003B38E8">
              <w:rPr>
                <w:lang w:val="en-US"/>
              </w:rPr>
              <w:t xml:space="preserve">The Protected Countryside lands identified in this Greenbelt Plan are intended to enhance the spatial extent of agriculturally and environmentally protected lands currently covered by the NEP and the </w:t>
            </w:r>
            <w:proofErr w:type="spellStart"/>
            <w:r w:rsidRPr="003B38E8">
              <w:rPr>
                <w:lang w:val="en-US"/>
              </w:rPr>
              <w:t>ORMCP</w:t>
            </w:r>
            <w:proofErr w:type="spellEnd"/>
            <w:r w:rsidRPr="003B38E8">
              <w:rPr>
                <w:lang w:val="en-US"/>
              </w:rPr>
              <w:t xml:space="preserve"> while at the same time improving linkages between these areas and the surrounding major lake systems and watersheds. Collectively, the lands in these three plans form the Greenbelt. The Protected Countryside (as shown on Schedule 1 of this Greenbelt Plan) is made up of an Agricultural System and a Natural System, together with a series of settlement areas.</w:t>
            </w:r>
          </w:p>
          <w:p w14:paraId="5471F181" w14:textId="77777777" w:rsidR="003B38E8" w:rsidRPr="003B38E8" w:rsidRDefault="003B38E8" w:rsidP="003B38E8">
            <w:pPr>
              <w:pStyle w:val="Copy"/>
              <w:rPr>
                <w:b/>
                <w:lang w:val="en-US"/>
              </w:rPr>
            </w:pPr>
          </w:p>
          <w:p w14:paraId="324AC239" w14:textId="77777777" w:rsidR="003B38E8" w:rsidRPr="003B38E8" w:rsidRDefault="003B38E8" w:rsidP="003B38E8">
            <w:pPr>
              <w:pStyle w:val="Copy"/>
              <w:rPr>
                <w:lang w:val="en-US"/>
              </w:rPr>
            </w:pPr>
            <w:r w:rsidRPr="003B38E8">
              <w:rPr>
                <w:lang w:val="en-US"/>
              </w:rPr>
              <w:t>The Agricultural System is made up of specialty crop, prime agricultural and rural areas. The Natural System identifies lands that support both natural heritage and hydrologic features and functions. Both systems maintain connections to the broader agricultural and natural systems of southern Ontario.</w:t>
            </w:r>
          </w:p>
          <w:p w14:paraId="7909CECF" w14:textId="77777777" w:rsidR="003B38E8" w:rsidRPr="003B38E8" w:rsidRDefault="003B38E8" w:rsidP="003B38E8">
            <w:pPr>
              <w:pStyle w:val="Copy"/>
              <w:rPr>
                <w:b/>
                <w:lang w:val="en-US"/>
              </w:rPr>
            </w:pPr>
          </w:p>
          <w:p w14:paraId="084FCDB2" w14:textId="11531E31" w:rsidR="003B38E8" w:rsidRPr="003B38E8" w:rsidRDefault="003B38E8" w:rsidP="003B38E8">
            <w:pPr>
              <w:pStyle w:val="Copy"/>
              <w:rPr>
                <w:lang w:val="en-US"/>
              </w:rPr>
            </w:pPr>
            <w:r w:rsidRPr="003B38E8">
              <w:rPr>
                <w:lang w:val="en-US"/>
              </w:rPr>
              <w:t>The settlement areas, identified as Towns/Villages and Hamlets, vary in size, diversity and intensity of uses and are</w:t>
            </w:r>
            <w:r>
              <w:rPr>
                <w:lang w:val="en-US"/>
              </w:rPr>
              <w:t xml:space="preserve"> found throughout the Protected</w:t>
            </w:r>
            <w:r w:rsidRPr="003B38E8">
              <w:rPr>
                <w:lang w:val="en-US"/>
              </w:rPr>
              <w:t xml:space="preserve"> Countryside.</w:t>
            </w:r>
          </w:p>
          <w:p w14:paraId="7892C7C1" w14:textId="77777777" w:rsidR="003B38E8" w:rsidRPr="003B38E8" w:rsidRDefault="003B38E8" w:rsidP="003B38E8">
            <w:pPr>
              <w:pStyle w:val="Copy"/>
              <w:rPr>
                <w:b/>
                <w:lang w:val="en-US"/>
              </w:rPr>
            </w:pPr>
          </w:p>
          <w:p w14:paraId="320629C1" w14:textId="77777777" w:rsidR="003B38E8" w:rsidRPr="003B38E8" w:rsidRDefault="003B38E8" w:rsidP="003B38E8">
            <w:pPr>
              <w:pStyle w:val="Copy"/>
              <w:rPr>
                <w:lang w:val="en-US"/>
              </w:rPr>
            </w:pPr>
            <w:r w:rsidRPr="003B38E8">
              <w:rPr>
                <w:lang w:val="en-US"/>
              </w:rPr>
              <w:t>While providing permanent agricultural and environmental protection, the Greenbelt also contains important natural resources and supports a wide range of recreational and tourism uses, areas and opportunities together with a vibrant and evolving agricultural and rural economy.</w:t>
            </w:r>
          </w:p>
          <w:p w14:paraId="317CA7A8" w14:textId="77777777" w:rsidR="003B38E8" w:rsidRPr="003B38E8" w:rsidRDefault="003B38E8" w:rsidP="003B38E8">
            <w:pPr>
              <w:pStyle w:val="Copy"/>
              <w:rPr>
                <w:b/>
                <w:lang w:val="en-US"/>
              </w:rPr>
            </w:pPr>
          </w:p>
          <w:p w14:paraId="36E12811" w14:textId="1638AA01" w:rsidR="003171D9" w:rsidRPr="00500A5A" w:rsidRDefault="003B38E8" w:rsidP="003B38E8">
            <w:pPr>
              <w:pStyle w:val="Copy"/>
            </w:pPr>
            <w:r w:rsidRPr="003B38E8">
              <w:rPr>
                <w:lang w:val="en-US"/>
              </w:rPr>
              <w:t xml:space="preserve">Source: Ontario Ministry of Municipal Affairs and Housing </w:t>
            </w:r>
            <w:hyperlink r:id="rId13">
              <w:r w:rsidRPr="003B38E8">
                <w:rPr>
                  <w:rStyle w:val="Hyperlink"/>
                  <w:lang w:val="en-US"/>
                </w:rPr>
                <w:t>http://www.mah.gov.on.ca/Page189.aspx</w:t>
              </w:r>
            </w:hyperlink>
          </w:p>
        </w:tc>
      </w:tr>
    </w:tbl>
    <w:p w14:paraId="0ADFC4AC" w14:textId="3D00B3E8" w:rsidR="00577745" w:rsidRPr="00577745" w:rsidRDefault="0027157A" w:rsidP="006C3C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5F02A1D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0F304071"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8B698E">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1645" id="_x0000_t202" coordsize="21600,21600" o:spt="202" path="m0,0l0,21600,21600,21600,21600,0xe">
                <v:stroke joinstyle="miter"/>
                <v:path gradientshapeok="t" o:connecttype="rect"/>
              </v:shapetype>
              <v:shape id="Text Box 2" o:spid="_x0000_s1026"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w43YCAABZ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" filled="f" stroked="f">
                <v:textbox>
                  <w:txbxContent>
                    <w:p w14:paraId="7B2B3464" w14:textId="0F304071"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8B698E">
                        <w:rPr>
                          <w:rFonts w:ascii="Verdana" w:hAnsi="Verdana"/>
                          <w:b/>
                          <w:color w:val="54B948"/>
                          <w:sz w:val="26"/>
                          <w:szCs w:val="26"/>
                          <w:lang w:val="en-CA"/>
                        </w:rPr>
                        <w:t>A</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E54DA" w14:textId="77777777" w:rsidR="004E3773" w:rsidRDefault="004E3773" w:rsidP="000219F5">
      <w:r>
        <w:separator/>
      </w:r>
    </w:p>
  </w:endnote>
  <w:endnote w:type="continuationSeparator" w:id="0">
    <w:p w14:paraId="2256AB07" w14:textId="77777777" w:rsidR="004E3773" w:rsidRDefault="004E377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B76EF">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B76EF">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7653" w14:textId="77777777" w:rsidR="004E3773" w:rsidRDefault="004E3773" w:rsidP="000219F5">
      <w:r>
        <w:separator/>
      </w:r>
    </w:p>
  </w:footnote>
  <w:footnote w:type="continuationSeparator" w:id="0">
    <w:p w14:paraId="1B6BA34E" w14:textId="77777777" w:rsidR="004E3773" w:rsidRDefault="004E3773"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316FCB6" w:rsidR="00CC12B7" w:rsidRPr="00DE42D5" w:rsidRDefault="00827F1E" w:rsidP="00DA30E1">
                          <w:pPr>
                            <w:pStyle w:val="Heading"/>
                            <w:rPr>
                              <w:sz w:val="32"/>
                              <w:szCs w:val="32"/>
                            </w:rPr>
                          </w:pPr>
                          <w:r>
                            <w:rPr>
                              <w:lang w:val="en-US"/>
                            </w:rPr>
                            <w:t xml:space="preserve">Urban Planning and </w:t>
                          </w:r>
                          <w:r>
                            <w:rPr>
                              <w:lang w:val="en-US"/>
                            </w:rPr>
                            <w:br/>
                            <w:t>your finances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7"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316FCB6" w:rsidR="00CC12B7" w:rsidRPr="00DE42D5" w:rsidRDefault="00827F1E" w:rsidP="00DA30E1">
                    <w:pPr>
                      <w:pStyle w:val="Heading"/>
                      <w:rPr>
                        <w:sz w:val="32"/>
                        <w:szCs w:val="32"/>
                      </w:rPr>
                    </w:pPr>
                    <w:r>
                      <w:rPr>
                        <w:lang w:val="en-US"/>
                      </w:rPr>
                      <w:t xml:space="preserve">Urban Planning and </w:t>
                    </w:r>
                    <w:r>
                      <w:rPr>
                        <w:lang w:val="en-US"/>
                      </w:rPr>
                      <w:br/>
                      <w:t>your finances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F58E88B" w:rsidR="00CC12B7" w:rsidRPr="00F40B32" w:rsidRDefault="00827F1E" w:rsidP="002517FC">
                          <w:pPr>
                            <w:pStyle w:val="Header"/>
                            <w:rPr>
                              <w:rFonts w:ascii="Verdana" w:hAnsi="Verdana" w:cs="Arial"/>
                              <w:color w:val="FFFFFF" w:themeColor="background1"/>
                              <w:sz w:val="36"/>
                              <w:szCs w:val="36"/>
                              <w:lang w:val="en-CA"/>
                            </w:rPr>
                          </w:pPr>
                          <w:r w:rsidRPr="00827F1E">
                            <w:rPr>
                              <w:rFonts w:ascii="Verdana" w:hAnsi="Verdana" w:cs="Arial"/>
                              <w:color w:val="FFFFFF" w:themeColor="background1"/>
                              <w:sz w:val="36"/>
                              <w:szCs w:val="36"/>
                            </w:rPr>
                            <w:t>Urban Planning and your finances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8"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F58E88B" w:rsidR="00CC12B7" w:rsidRPr="00F40B32" w:rsidRDefault="00827F1E" w:rsidP="002517FC">
                    <w:pPr>
                      <w:pStyle w:val="Header"/>
                      <w:rPr>
                        <w:rFonts w:ascii="Verdana" w:hAnsi="Verdana" w:cs="Arial"/>
                        <w:color w:val="FFFFFF" w:themeColor="background1"/>
                        <w:sz w:val="36"/>
                        <w:szCs w:val="36"/>
                        <w:lang w:val="en-CA"/>
                      </w:rPr>
                    </w:pPr>
                    <w:r w:rsidRPr="00827F1E">
                      <w:rPr>
                        <w:rFonts w:ascii="Verdana" w:hAnsi="Verdana" w:cs="Arial"/>
                        <w:color w:val="FFFFFF" w:themeColor="background1"/>
                        <w:sz w:val="36"/>
                        <w:szCs w:val="36"/>
                      </w:rPr>
                      <w:t>Urban Planning and your finances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C652611">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0D45FDB" w:rsidR="00CC12B7" w:rsidRPr="009D62B6" w:rsidRDefault="00827F1E" w:rsidP="00681C0F">
                          <w:pPr>
                            <w:pStyle w:val="Header"/>
                            <w:rPr>
                              <w:rFonts w:ascii="Verdana" w:hAnsi="Verdana" w:cs="Arial"/>
                              <w:color w:val="FFFFFF" w:themeColor="background1"/>
                              <w:sz w:val="36"/>
                              <w:szCs w:val="36"/>
                              <w:lang w:val="en-CA"/>
                            </w:rPr>
                          </w:pPr>
                          <w:r w:rsidRPr="00827F1E">
                            <w:rPr>
                              <w:rFonts w:ascii="Verdana" w:hAnsi="Verdana" w:cs="Arial"/>
                              <w:color w:val="FFFFFF" w:themeColor="background1"/>
                              <w:sz w:val="36"/>
                              <w:szCs w:val="36"/>
                            </w:rPr>
                            <w:t>U</w:t>
                          </w:r>
                          <w:r>
                            <w:rPr>
                              <w:rFonts w:ascii="Verdana" w:hAnsi="Verdana" w:cs="Arial"/>
                              <w:color w:val="FFFFFF" w:themeColor="background1"/>
                              <w:sz w:val="36"/>
                              <w:szCs w:val="36"/>
                            </w:rPr>
                            <w:t>rban Planning and your finances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29"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72B49235" w14:textId="30D45FDB" w:rsidR="00CC12B7" w:rsidRPr="009D62B6" w:rsidRDefault="00827F1E" w:rsidP="00681C0F">
                    <w:pPr>
                      <w:pStyle w:val="Header"/>
                      <w:rPr>
                        <w:rFonts w:ascii="Verdana" w:hAnsi="Verdana" w:cs="Arial"/>
                        <w:color w:val="FFFFFF" w:themeColor="background1"/>
                        <w:sz w:val="36"/>
                        <w:szCs w:val="36"/>
                        <w:lang w:val="en-CA"/>
                      </w:rPr>
                    </w:pPr>
                    <w:r w:rsidRPr="00827F1E">
                      <w:rPr>
                        <w:rFonts w:ascii="Verdana" w:hAnsi="Verdana" w:cs="Arial"/>
                        <w:color w:val="FFFFFF" w:themeColor="background1"/>
                        <w:sz w:val="36"/>
                        <w:szCs w:val="36"/>
                      </w:rPr>
                      <w:t>U</w:t>
                    </w:r>
                    <w:r>
                      <w:rPr>
                        <w:rFonts w:ascii="Verdana" w:hAnsi="Verdana" w:cs="Arial"/>
                        <w:color w:val="FFFFFF" w:themeColor="background1"/>
                        <w:sz w:val="36"/>
                        <w:szCs w:val="36"/>
                      </w:rPr>
                      <w:t>rban Planning and your finances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B1952"/>
    <w:multiLevelType w:val="hybridMultilevel"/>
    <w:tmpl w:val="1954348A"/>
    <w:lvl w:ilvl="0" w:tplc="E6387CC0">
      <w:numFmt w:val="bullet"/>
      <w:lvlText w:val="•"/>
      <w:lvlJc w:val="left"/>
      <w:pPr>
        <w:ind w:left="492" w:hanging="240"/>
      </w:pPr>
      <w:rPr>
        <w:rFonts w:ascii="Arial" w:eastAsia="Arial" w:hAnsi="Arial" w:cs="Arial" w:hint="default"/>
        <w:color w:val="231F20"/>
        <w:w w:val="134"/>
        <w:sz w:val="20"/>
        <w:szCs w:val="20"/>
      </w:rPr>
    </w:lvl>
    <w:lvl w:ilvl="1" w:tplc="6F22D71E">
      <w:numFmt w:val="bullet"/>
      <w:lvlText w:val="•"/>
      <w:lvlJc w:val="left"/>
      <w:pPr>
        <w:ind w:left="1356" w:hanging="240"/>
      </w:pPr>
      <w:rPr>
        <w:rFonts w:hint="default"/>
      </w:rPr>
    </w:lvl>
    <w:lvl w:ilvl="2" w:tplc="2FB479F6">
      <w:numFmt w:val="bullet"/>
      <w:lvlText w:val="•"/>
      <w:lvlJc w:val="left"/>
      <w:pPr>
        <w:ind w:left="2212" w:hanging="240"/>
      </w:pPr>
      <w:rPr>
        <w:rFonts w:hint="default"/>
      </w:rPr>
    </w:lvl>
    <w:lvl w:ilvl="3" w:tplc="626E8750">
      <w:numFmt w:val="bullet"/>
      <w:lvlText w:val="•"/>
      <w:lvlJc w:val="left"/>
      <w:pPr>
        <w:ind w:left="3068" w:hanging="240"/>
      </w:pPr>
      <w:rPr>
        <w:rFonts w:hint="default"/>
      </w:rPr>
    </w:lvl>
    <w:lvl w:ilvl="4" w:tplc="7CFC3F46">
      <w:numFmt w:val="bullet"/>
      <w:lvlText w:val="•"/>
      <w:lvlJc w:val="left"/>
      <w:pPr>
        <w:ind w:left="3924" w:hanging="240"/>
      </w:pPr>
      <w:rPr>
        <w:rFonts w:hint="default"/>
      </w:rPr>
    </w:lvl>
    <w:lvl w:ilvl="5" w:tplc="CD3C2E9A">
      <w:numFmt w:val="bullet"/>
      <w:lvlText w:val="•"/>
      <w:lvlJc w:val="left"/>
      <w:pPr>
        <w:ind w:left="4780" w:hanging="240"/>
      </w:pPr>
      <w:rPr>
        <w:rFonts w:hint="default"/>
      </w:rPr>
    </w:lvl>
    <w:lvl w:ilvl="6" w:tplc="58564366">
      <w:numFmt w:val="bullet"/>
      <w:lvlText w:val="•"/>
      <w:lvlJc w:val="left"/>
      <w:pPr>
        <w:ind w:left="5636" w:hanging="240"/>
      </w:pPr>
      <w:rPr>
        <w:rFonts w:hint="default"/>
      </w:rPr>
    </w:lvl>
    <w:lvl w:ilvl="7" w:tplc="0728FDA8">
      <w:numFmt w:val="bullet"/>
      <w:lvlText w:val="•"/>
      <w:lvlJc w:val="left"/>
      <w:pPr>
        <w:ind w:left="6492" w:hanging="240"/>
      </w:pPr>
      <w:rPr>
        <w:rFonts w:hint="default"/>
      </w:rPr>
    </w:lvl>
    <w:lvl w:ilvl="8" w:tplc="A458696E">
      <w:numFmt w:val="bullet"/>
      <w:lvlText w:val="•"/>
      <w:lvlJc w:val="left"/>
      <w:pPr>
        <w:ind w:left="7348" w:hanging="240"/>
      </w:pPr>
      <w:rPr>
        <w:rFonts w:hint="default"/>
      </w:rPr>
    </w:lvl>
  </w:abstractNum>
  <w:abstractNum w:abstractNumId="7">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AA328F"/>
    <w:multiLevelType w:val="hybridMultilevel"/>
    <w:tmpl w:val="CBE24190"/>
    <w:lvl w:ilvl="0" w:tplc="A4CE0E5A">
      <w:numFmt w:val="bullet"/>
      <w:lvlText w:val="•"/>
      <w:lvlJc w:val="left"/>
      <w:pPr>
        <w:ind w:left="659" w:hanging="240"/>
      </w:pPr>
      <w:rPr>
        <w:rFonts w:ascii="Arial" w:eastAsia="Arial" w:hAnsi="Arial" w:cs="Arial" w:hint="default"/>
        <w:color w:val="231F20"/>
        <w:w w:val="140"/>
        <w:sz w:val="20"/>
        <w:szCs w:val="20"/>
      </w:rPr>
    </w:lvl>
    <w:lvl w:ilvl="1" w:tplc="F5B01A0C">
      <w:numFmt w:val="bullet"/>
      <w:lvlText w:val="•"/>
      <w:lvlJc w:val="left"/>
      <w:pPr>
        <w:ind w:left="1758" w:hanging="240"/>
      </w:pPr>
      <w:rPr>
        <w:rFonts w:hint="default"/>
      </w:rPr>
    </w:lvl>
    <w:lvl w:ilvl="2" w:tplc="BEFED066">
      <w:numFmt w:val="bullet"/>
      <w:lvlText w:val="•"/>
      <w:lvlJc w:val="left"/>
      <w:pPr>
        <w:ind w:left="2856" w:hanging="240"/>
      </w:pPr>
      <w:rPr>
        <w:rFonts w:hint="default"/>
      </w:rPr>
    </w:lvl>
    <w:lvl w:ilvl="3" w:tplc="67302BBC">
      <w:numFmt w:val="bullet"/>
      <w:lvlText w:val="•"/>
      <w:lvlJc w:val="left"/>
      <w:pPr>
        <w:ind w:left="3954" w:hanging="240"/>
      </w:pPr>
      <w:rPr>
        <w:rFonts w:hint="default"/>
      </w:rPr>
    </w:lvl>
    <w:lvl w:ilvl="4" w:tplc="1B92F64A">
      <w:numFmt w:val="bullet"/>
      <w:lvlText w:val="•"/>
      <w:lvlJc w:val="left"/>
      <w:pPr>
        <w:ind w:left="5052" w:hanging="240"/>
      </w:pPr>
      <w:rPr>
        <w:rFonts w:hint="default"/>
      </w:rPr>
    </w:lvl>
    <w:lvl w:ilvl="5" w:tplc="04603A98">
      <w:numFmt w:val="bullet"/>
      <w:lvlText w:val="•"/>
      <w:lvlJc w:val="left"/>
      <w:pPr>
        <w:ind w:left="6150" w:hanging="240"/>
      </w:pPr>
      <w:rPr>
        <w:rFonts w:hint="default"/>
      </w:rPr>
    </w:lvl>
    <w:lvl w:ilvl="6" w:tplc="359051AC">
      <w:numFmt w:val="bullet"/>
      <w:lvlText w:val="•"/>
      <w:lvlJc w:val="left"/>
      <w:pPr>
        <w:ind w:left="7248" w:hanging="240"/>
      </w:pPr>
      <w:rPr>
        <w:rFonts w:hint="default"/>
      </w:rPr>
    </w:lvl>
    <w:lvl w:ilvl="7" w:tplc="C97C2C90">
      <w:numFmt w:val="bullet"/>
      <w:lvlText w:val="•"/>
      <w:lvlJc w:val="left"/>
      <w:pPr>
        <w:ind w:left="8346" w:hanging="240"/>
      </w:pPr>
      <w:rPr>
        <w:rFonts w:hint="default"/>
      </w:rPr>
    </w:lvl>
    <w:lvl w:ilvl="8" w:tplc="FB7413A8">
      <w:numFmt w:val="bullet"/>
      <w:lvlText w:val="•"/>
      <w:lvlJc w:val="left"/>
      <w:pPr>
        <w:ind w:left="9444" w:hanging="240"/>
      </w:pPr>
      <w:rPr>
        <w:rFonts w:hint="default"/>
      </w:rPr>
    </w:lvl>
  </w:abstractNum>
  <w:abstractNum w:abstractNumId="9">
    <w:nsid w:val="15907173"/>
    <w:multiLevelType w:val="hybridMultilevel"/>
    <w:tmpl w:val="4EB4A3C2"/>
    <w:lvl w:ilvl="0" w:tplc="CC7C2A6C">
      <w:start w:val="1"/>
      <w:numFmt w:val="decimal"/>
      <w:lvlText w:val="%1."/>
      <w:lvlJc w:val="left"/>
      <w:pPr>
        <w:ind w:left="492" w:hanging="240"/>
        <w:jc w:val="left"/>
      </w:pPr>
      <w:rPr>
        <w:rFonts w:ascii="Arial" w:eastAsia="Arial" w:hAnsi="Arial" w:cs="Arial" w:hint="default"/>
        <w:color w:val="231F20"/>
        <w:w w:val="67"/>
        <w:sz w:val="20"/>
        <w:szCs w:val="20"/>
      </w:rPr>
    </w:lvl>
    <w:lvl w:ilvl="1" w:tplc="CFBAB4B8">
      <w:numFmt w:val="bullet"/>
      <w:lvlText w:val="•"/>
      <w:lvlJc w:val="left"/>
      <w:pPr>
        <w:ind w:left="1356" w:hanging="240"/>
      </w:pPr>
      <w:rPr>
        <w:rFonts w:hint="default"/>
      </w:rPr>
    </w:lvl>
    <w:lvl w:ilvl="2" w:tplc="AC66598C">
      <w:numFmt w:val="bullet"/>
      <w:lvlText w:val="•"/>
      <w:lvlJc w:val="left"/>
      <w:pPr>
        <w:ind w:left="2212" w:hanging="240"/>
      </w:pPr>
      <w:rPr>
        <w:rFonts w:hint="default"/>
      </w:rPr>
    </w:lvl>
    <w:lvl w:ilvl="3" w:tplc="E4124474">
      <w:numFmt w:val="bullet"/>
      <w:lvlText w:val="•"/>
      <w:lvlJc w:val="left"/>
      <w:pPr>
        <w:ind w:left="3068" w:hanging="240"/>
      </w:pPr>
      <w:rPr>
        <w:rFonts w:hint="default"/>
      </w:rPr>
    </w:lvl>
    <w:lvl w:ilvl="4" w:tplc="79BCC1CE">
      <w:numFmt w:val="bullet"/>
      <w:lvlText w:val="•"/>
      <w:lvlJc w:val="left"/>
      <w:pPr>
        <w:ind w:left="3924" w:hanging="240"/>
      </w:pPr>
      <w:rPr>
        <w:rFonts w:hint="default"/>
      </w:rPr>
    </w:lvl>
    <w:lvl w:ilvl="5" w:tplc="B810CD3C">
      <w:numFmt w:val="bullet"/>
      <w:lvlText w:val="•"/>
      <w:lvlJc w:val="left"/>
      <w:pPr>
        <w:ind w:left="4780" w:hanging="240"/>
      </w:pPr>
      <w:rPr>
        <w:rFonts w:hint="default"/>
      </w:rPr>
    </w:lvl>
    <w:lvl w:ilvl="6" w:tplc="1D5C944C">
      <w:numFmt w:val="bullet"/>
      <w:lvlText w:val="•"/>
      <w:lvlJc w:val="left"/>
      <w:pPr>
        <w:ind w:left="5636" w:hanging="240"/>
      </w:pPr>
      <w:rPr>
        <w:rFonts w:hint="default"/>
      </w:rPr>
    </w:lvl>
    <w:lvl w:ilvl="7" w:tplc="B5925984">
      <w:numFmt w:val="bullet"/>
      <w:lvlText w:val="•"/>
      <w:lvlJc w:val="left"/>
      <w:pPr>
        <w:ind w:left="6492" w:hanging="240"/>
      </w:pPr>
      <w:rPr>
        <w:rFonts w:hint="default"/>
      </w:rPr>
    </w:lvl>
    <w:lvl w:ilvl="8" w:tplc="7270CC78">
      <w:numFmt w:val="bullet"/>
      <w:lvlText w:val="•"/>
      <w:lvlJc w:val="left"/>
      <w:pPr>
        <w:ind w:left="7348" w:hanging="240"/>
      </w:pPr>
      <w:rPr>
        <w:rFonts w:hint="default"/>
      </w:rPr>
    </w:lvl>
  </w:abstractNum>
  <w:abstractNum w:abstractNumId="1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84F25"/>
    <w:multiLevelType w:val="hybridMultilevel"/>
    <w:tmpl w:val="E6D4D95C"/>
    <w:lvl w:ilvl="0" w:tplc="59127214">
      <w:start w:val="1"/>
      <w:numFmt w:val="decimal"/>
      <w:lvlText w:val="%1."/>
      <w:lvlJc w:val="left"/>
      <w:pPr>
        <w:ind w:left="492" w:hanging="240"/>
        <w:jc w:val="left"/>
      </w:pPr>
      <w:rPr>
        <w:rFonts w:ascii="Arial" w:eastAsia="Arial" w:hAnsi="Arial" w:cs="Arial" w:hint="default"/>
        <w:color w:val="231F20"/>
        <w:w w:val="67"/>
        <w:sz w:val="20"/>
        <w:szCs w:val="20"/>
      </w:rPr>
    </w:lvl>
    <w:lvl w:ilvl="1" w:tplc="C1A6B6AA">
      <w:numFmt w:val="bullet"/>
      <w:lvlText w:val="•"/>
      <w:lvlJc w:val="left"/>
      <w:pPr>
        <w:ind w:left="1356" w:hanging="240"/>
      </w:pPr>
      <w:rPr>
        <w:rFonts w:hint="default"/>
      </w:rPr>
    </w:lvl>
    <w:lvl w:ilvl="2" w:tplc="36C8E42C">
      <w:numFmt w:val="bullet"/>
      <w:lvlText w:val="•"/>
      <w:lvlJc w:val="left"/>
      <w:pPr>
        <w:ind w:left="2212" w:hanging="240"/>
      </w:pPr>
      <w:rPr>
        <w:rFonts w:hint="default"/>
      </w:rPr>
    </w:lvl>
    <w:lvl w:ilvl="3" w:tplc="F6023A5A">
      <w:numFmt w:val="bullet"/>
      <w:lvlText w:val="•"/>
      <w:lvlJc w:val="left"/>
      <w:pPr>
        <w:ind w:left="3068" w:hanging="240"/>
      </w:pPr>
      <w:rPr>
        <w:rFonts w:hint="default"/>
      </w:rPr>
    </w:lvl>
    <w:lvl w:ilvl="4" w:tplc="04A48A22">
      <w:numFmt w:val="bullet"/>
      <w:lvlText w:val="•"/>
      <w:lvlJc w:val="left"/>
      <w:pPr>
        <w:ind w:left="3924" w:hanging="240"/>
      </w:pPr>
      <w:rPr>
        <w:rFonts w:hint="default"/>
      </w:rPr>
    </w:lvl>
    <w:lvl w:ilvl="5" w:tplc="9B5A5C86">
      <w:numFmt w:val="bullet"/>
      <w:lvlText w:val="•"/>
      <w:lvlJc w:val="left"/>
      <w:pPr>
        <w:ind w:left="4780" w:hanging="240"/>
      </w:pPr>
      <w:rPr>
        <w:rFonts w:hint="default"/>
      </w:rPr>
    </w:lvl>
    <w:lvl w:ilvl="6" w:tplc="DAF210F2">
      <w:numFmt w:val="bullet"/>
      <w:lvlText w:val="•"/>
      <w:lvlJc w:val="left"/>
      <w:pPr>
        <w:ind w:left="5636" w:hanging="240"/>
      </w:pPr>
      <w:rPr>
        <w:rFonts w:hint="default"/>
      </w:rPr>
    </w:lvl>
    <w:lvl w:ilvl="7" w:tplc="8A126D80">
      <w:numFmt w:val="bullet"/>
      <w:lvlText w:val="•"/>
      <w:lvlJc w:val="left"/>
      <w:pPr>
        <w:ind w:left="6492" w:hanging="240"/>
      </w:pPr>
      <w:rPr>
        <w:rFonts w:hint="default"/>
      </w:rPr>
    </w:lvl>
    <w:lvl w:ilvl="8" w:tplc="338E53A8">
      <w:numFmt w:val="bullet"/>
      <w:lvlText w:val="•"/>
      <w:lvlJc w:val="left"/>
      <w:pPr>
        <w:ind w:left="7348" w:hanging="240"/>
      </w:pPr>
      <w:rPr>
        <w:rFonts w:hint="default"/>
      </w:rPr>
    </w:lvl>
  </w:abstractNum>
  <w:abstractNum w:abstractNumId="17">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85430"/>
    <w:multiLevelType w:val="hybridMultilevel"/>
    <w:tmpl w:val="1BFE66F2"/>
    <w:lvl w:ilvl="0" w:tplc="CB900DD6">
      <w:numFmt w:val="bullet"/>
      <w:lvlText w:val="•"/>
      <w:lvlJc w:val="left"/>
      <w:pPr>
        <w:ind w:left="972" w:hanging="480"/>
      </w:pPr>
      <w:rPr>
        <w:rFonts w:ascii="Arial" w:eastAsia="Arial" w:hAnsi="Arial" w:cs="Arial" w:hint="default"/>
        <w:color w:val="231F20"/>
        <w:w w:val="134"/>
        <w:sz w:val="20"/>
        <w:szCs w:val="20"/>
      </w:rPr>
    </w:lvl>
    <w:lvl w:ilvl="1" w:tplc="51A803DC">
      <w:numFmt w:val="bullet"/>
      <w:lvlText w:val="•"/>
      <w:lvlJc w:val="left"/>
      <w:pPr>
        <w:ind w:left="1788" w:hanging="480"/>
      </w:pPr>
      <w:rPr>
        <w:rFonts w:hint="default"/>
      </w:rPr>
    </w:lvl>
    <w:lvl w:ilvl="2" w:tplc="886C42D6">
      <w:numFmt w:val="bullet"/>
      <w:lvlText w:val="•"/>
      <w:lvlJc w:val="left"/>
      <w:pPr>
        <w:ind w:left="2596" w:hanging="480"/>
      </w:pPr>
      <w:rPr>
        <w:rFonts w:hint="default"/>
      </w:rPr>
    </w:lvl>
    <w:lvl w:ilvl="3" w:tplc="763E8928">
      <w:numFmt w:val="bullet"/>
      <w:lvlText w:val="•"/>
      <w:lvlJc w:val="left"/>
      <w:pPr>
        <w:ind w:left="3404" w:hanging="480"/>
      </w:pPr>
      <w:rPr>
        <w:rFonts w:hint="default"/>
      </w:rPr>
    </w:lvl>
    <w:lvl w:ilvl="4" w:tplc="2BEA35C2">
      <w:numFmt w:val="bullet"/>
      <w:lvlText w:val="•"/>
      <w:lvlJc w:val="left"/>
      <w:pPr>
        <w:ind w:left="4212" w:hanging="480"/>
      </w:pPr>
      <w:rPr>
        <w:rFonts w:hint="default"/>
      </w:rPr>
    </w:lvl>
    <w:lvl w:ilvl="5" w:tplc="A1C21F76">
      <w:numFmt w:val="bullet"/>
      <w:lvlText w:val="•"/>
      <w:lvlJc w:val="left"/>
      <w:pPr>
        <w:ind w:left="5020" w:hanging="480"/>
      </w:pPr>
      <w:rPr>
        <w:rFonts w:hint="default"/>
      </w:rPr>
    </w:lvl>
    <w:lvl w:ilvl="6" w:tplc="4588E1C8">
      <w:numFmt w:val="bullet"/>
      <w:lvlText w:val="•"/>
      <w:lvlJc w:val="left"/>
      <w:pPr>
        <w:ind w:left="5828" w:hanging="480"/>
      </w:pPr>
      <w:rPr>
        <w:rFonts w:hint="default"/>
      </w:rPr>
    </w:lvl>
    <w:lvl w:ilvl="7" w:tplc="6AF6C3DA">
      <w:numFmt w:val="bullet"/>
      <w:lvlText w:val="•"/>
      <w:lvlJc w:val="left"/>
      <w:pPr>
        <w:ind w:left="6636" w:hanging="480"/>
      </w:pPr>
      <w:rPr>
        <w:rFonts w:hint="default"/>
      </w:rPr>
    </w:lvl>
    <w:lvl w:ilvl="8" w:tplc="11983384">
      <w:numFmt w:val="bullet"/>
      <w:lvlText w:val="•"/>
      <w:lvlJc w:val="left"/>
      <w:pPr>
        <w:ind w:left="7444" w:hanging="480"/>
      </w:pPr>
      <w:rPr>
        <w:rFonts w:hint="default"/>
      </w:rPr>
    </w:lvl>
  </w:abstractNum>
  <w:abstractNum w:abstractNumId="20">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A620C"/>
    <w:multiLevelType w:val="hybridMultilevel"/>
    <w:tmpl w:val="40F8EBCC"/>
    <w:lvl w:ilvl="0" w:tplc="7D1405E6">
      <w:numFmt w:val="bullet"/>
      <w:lvlText w:val="•"/>
      <w:lvlJc w:val="left"/>
      <w:pPr>
        <w:ind w:left="5599" w:hanging="240"/>
      </w:pPr>
      <w:rPr>
        <w:rFonts w:ascii="Arial" w:eastAsia="Arial" w:hAnsi="Arial" w:cs="Arial" w:hint="default"/>
        <w:color w:val="231F20"/>
        <w:w w:val="134"/>
        <w:sz w:val="20"/>
        <w:szCs w:val="20"/>
      </w:rPr>
    </w:lvl>
    <w:lvl w:ilvl="1" w:tplc="87D46748">
      <w:numFmt w:val="bullet"/>
      <w:lvlText w:val="•"/>
      <w:lvlJc w:val="left"/>
      <w:pPr>
        <w:ind w:left="6204" w:hanging="240"/>
      </w:pPr>
      <w:rPr>
        <w:rFonts w:hint="default"/>
      </w:rPr>
    </w:lvl>
    <w:lvl w:ilvl="2" w:tplc="905A5C20">
      <w:numFmt w:val="bullet"/>
      <w:lvlText w:val="•"/>
      <w:lvlJc w:val="left"/>
      <w:pPr>
        <w:ind w:left="6808" w:hanging="240"/>
      </w:pPr>
      <w:rPr>
        <w:rFonts w:hint="default"/>
      </w:rPr>
    </w:lvl>
    <w:lvl w:ilvl="3" w:tplc="D390F140">
      <w:numFmt w:val="bullet"/>
      <w:lvlText w:val="•"/>
      <w:lvlJc w:val="left"/>
      <w:pPr>
        <w:ind w:left="7412" w:hanging="240"/>
      </w:pPr>
      <w:rPr>
        <w:rFonts w:hint="default"/>
      </w:rPr>
    </w:lvl>
    <w:lvl w:ilvl="4" w:tplc="EB32615E">
      <w:numFmt w:val="bullet"/>
      <w:lvlText w:val="•"/>
      <w:lvlJc w:val="left"/>
      <w:pPr>
        <w:ind w:left="8016" w:hanging="240"/>
      </w:pPr>
      <w:rPr>
        <w:rFonts w:hint="default"/>
      </w:rPr>
    </w:lvl>
    <w:lvl w:ilvl="5" w:tplc="E1B21A62">
      <w:numFmt w:val="bullet"/>
      <w:lvlText w:val="•"/>
      <w:lvlJc w:val="left"/>
      <w:pPr>
        <w:ind w:left="8620" w:hanging="240"/>
      </w:pPr>
      <w:rPr>
        <w:rFonts w:hint="default"/>
      </w:rPr>
    </w:lvl>
    <w:lvl w:ilvl="6" w:tplc="6042375E">
      <w:numFmt w:val="bullet"/>
      <w:lvlText w:val="•"/>
      <w:lvlJc w:val="left"/>
      <w:pPr>
        <w:ind w:left="9224" w:hanging="240"/>
      </w:pPr>
      <w:rPr>
        <w:rFonts w:hint="default"/>
      </w:rPr>
    </w:lvl>
    <w:lvl w:ilvl="7" w:tplc="5BE62376">
      <w:numFmt w:val="bullet"/>
      <w:lvlText w:val="•"/>
      <w:lvlJc w:val="left"/>
      <w:pPr>
        <w:ind w:left="9828" w:hanging="240"/>
      </w:pPr>
      <w:rPr>
        <w:rFonts w:hint="default"/>
      </w:rPr>
    </w:lvl>
    <w:lvl w:ilvl="8" w:tplc="AEBAA73A">
      <w:numFmt w:val="bullet"/>
      <w:lvlText w:val="•"/>
      <w:lvlJc w:val="left"/>
      <w:pPr>
        <w:ind w:left="10432" w:hanging="240"/>
      </w:pPr>
      <w:rPr>
        <w:rFonts w:hint="default"/>
      </w:rPr>
    </w:lvl>
  </w:abstractNum>
  <w:abstractNum w:abstractNumId="23">
    <w:nsid w:val="4F041F5E"/>
    <w:multiLevelType w:val="hybridMultilevel"/>
    <w:tmpl w:val="0A20DECC"/>
    <w:lvl w:ilvl="0" w:tplc="EDB85E22">
      <w:numFmt w:val="bullet"/>
      <w:lvlText w:val="-"/>
      <w:lvlJc w:val="left"/>
      <w:pPr>
        <w:ind w:left="492" w:hanging="240"/>
      </w:pPr>
      <w:rPr>
        <w:rFonts w:ascii="Arial" w:eastAsia="Arial" w:hAnsi="Arial" w:cs="Arial" w:hint="default"/>
        <w:i/>
        <w:color w:val="231F20"/>
        <w:w w:val="122"/>
        <w:sz w:val="20"/>
        <w:szCs w:val="20"/>
      </w:rPr>
    </w:lvl>
    <w:lvl w:ilvl="1" w:tplc="C8D4F32A">
      <w:numFmt w:val="bullet"/>
      <w:lvlText w:val="•"/>
      <w:lvlJc w:val="left"/>
      <w:pPr>
        <w:ind w:left="1356" w:hanging="240"/>
      </w:pPr>
      <w:rPr>
        <w:rFonts w:hint="default"/>
      </w:rPr>
    </w:lvl>
    <w:lvl w:ilvl="2" w:tplc="2D1028A8">
      <w:numFmt w:val="bullet"/>
      <w:lvlText w:val="•"/>
      <w:lvlJc w:val="left"/>
      <w:pPr>
        <w:ind w:left="2212" w:hanging="240"/>
      </w:pPr>
      <w:rPr>
        <w:rFonts w:hint="default"/>
      </w:rPr>
    </w:lvl>
    <w:lvl w:ilvl="3" w:tplc="077C661C">
      <w:numFmt w:val="bullet"/>
      <w:lvlText w:val="•"/>
      <w:lvlJc w:val="left"/>
      <w:pPr>
        <w:ind w:left="3068" w:hanging="240"/>
      </w:pPr>
      <w:rPr>
        <w:rFonts w:hint="default"/>
      </w:rPr>
    </w:lvl>
    <w:lvl w:ilvl="4" w:tplc="AF2CCA84">
      <w:numFmt w:val="bullet"/>
      <w:lvlText w:val="•"/>
      <w:lvlJc w:val="left"/>
      <w:pPr>
        <w:ind w:left="3924" w:hanging="240"/>
      </w:pPr>
      <w:rPr>
        <w:rFonts w:hint="default"/>
      </w:rPr>
    </w:lvl>
    <w:lvl w:ilvl="5" w:tplc="E1DEA210">
      <w:numFmt w:val="bullet"/>
      <w:lvlText w:val="•"/>
      <w:lvlJc w:val="left"/>
      <w:pPr>
        <w:ind w:left="4780" w:hanging="240"/>
      </w:pPr>
      <w:rPr>
        <w:rFonts w:hint="default"/>
      </w:rPr>
    </w:lvl>
    <w:lvl w:ilvl="6" w:tplc="AC3CED06">
      <w:numFmt w:val="bullet"/>
      <w:lvlText w:val="•"/>
      <w:lvlJc w:val="left"/>
      <w:pPr>
        <w:ind w:left="5636" w:hanging="240"/>
      </w:pPr>
      <w:rPr>
        <w:rFonts w:hint="default"/>
      </w:rPr>
    </w:lvl>
    <w:lvl w:ilvl="7" w:tplc="B344DE4A">
      <w:numFmt w:val="bullet"/>
      <w:lvlText w:val="•"/>
      <w:lvlJc w:val="left"/>
      <w:pPr>
        <w:ind w:left="6492" w:hanging="240"/>
      </w:pPr>
      <w:rPr>
        <w:rFonts w:hint="default"/>
      </w:rPr>
    </w:lvl>
    <w:lvl w:ilvl="8" w:tplc="7408F2FA">
      <w:numFmt w:val="bullet"/>
      <w:lvlText w:val="•"/>
      <w:lvlJc w:val="left"/>
      <w:pPr>
        <w:ind w:left="7348" w:hanging="240"/>
      </w:pPr>
      <w:rPr>
        <w:rFonts w:hint="default"/>
      </w:rPr>
    </w:lvl>
  </w:abstractNum>
  <w:abstractNum w:abstractNumId="24">
    <w:nsid w:val="578A1896"/>
    <w:multiLevelType w:val="hybridMultilevel"/>
    <w:tmpl w:val="7C66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10393"/>
    <w:multiLevelType w:val="hybridMultilevel"/>
    <w:tmpl w:val="B9EE62DA"/>
    <w:lvl w:ilvl="0" w:tplc="B2F85DB8">
      <w:start w:val="1"/>
      <w:numFmt w:val="decimal"/>
      <w:lvlText w:val="%1."/>
      <w:lvlJc w:val="left"/>
      <w:pPr>
        <w:ind w:left="492" w:hanging="240"/>
        <w:jc w:val="left"/>
      </w:pPr>
      <w:rPr>
        <w:rFonts w:ascii="Arial" w:eastAsia="Arial" w:hAnsi="Arial" w:cs="Arial" w:hint="default"/>
        <w:color w:val="231F20"/>
        <w:w w:val="67"/>
        <w:sz w:val="20"/>
        <w:szCs w:val="20"/>
      </w:rPr>
    </w:lvl>
    <w:lvl w:ilvl="1" w:tplc="D83C0554">
      <w:numFmt w:val="bullet"/>
      <w:lvlText w:val="•"/>
      <w:lvlJc w:val="left"/>
      <w:pPr>
        <w:ind w:left="1356" w:hanging="240"/>
      </w:pPr>
      <w:rPr>
        <w:rFonts w:hint="default"/>
      </w:rPr>
    </w:lvl>
    <w:lvl w:ilvl="2" w:tplc="ACAA9010">
      <w:numFmt w:val="bullet"/>
      <w:lvlText w:val="•"/>
      <w:lvlJc w:val="left"/>
      <w:pPr>
        <w:ind w:left="2212" w:hanging="240"/>
      </w:pPr>
      <w:rPr>
        <w:rFonts w:hint="default"/>
      </w:rPr>
    </w:lvl>
    <w:lvl w:ilvl="3" w:tplc="3FAAD25C">
      <w:numFmt w:val="bullet"/>
      <w:lvlText w:val="•"/>
      <w:lvlJc w:val="left"/>
      <w:pPr>
        <w:ind w:left="3068" w:hanging="240"/>
      </w:pPr>
      <w:rPr>
        <w:rFonts w:hint="default"/>
      </w:rPr>
    </w:lvl>
    <w:lvl w:ilvl="4" w:tplc="8DC40310">
      <w:numFmt w:val="bullet"/>
      <w:lvlText w:val="•"/>
      <w:lvlJc w:val="left"/>
      <w:pPr>
        <w:ind w:left="3924" w:hanging="240"/>
      </w:pPr>
      <w:rPr>
        <w:rFonts w:hint="default"/>
      </w:rPr>
    </w:lvl>
    <w:lvl w:ilvl="5" w:tplc="FE3CEEA8">
      <w:numFmt w:val="bullet"/>
      <w:lvlText w:val="•"/>
      <w:lvlJc w:val="left"/>
      <w:pPr>
        <w:ind w:left="4780" w:hanging="240"/>
      </w:pPr>
      <w:rPr>
        <w:rFonts w:hint="default"/>
      </w:rPr>
    </w:lvl>
    <w:lvl w:ilvl="6" w:tplc="4F4EE622">
      <w:numFmt w:val="bullet"/>
      <w:lvlText w:val="•"/>
      <w:lvlJc w:val="left"/>
      <w:pPr>
        <w:ind w:left="5636" w:hanging="240"/>
      </w:pPr>
      <w:rPr>
        <w:rFonts w:hint="default"/>
      </w:rPr>
    </w:lvl>
    <w:lvl w:ilvl="7" w:tplc="615EEB32">
      <w:numFmt w:val="bullet"/>
      <w:lvlText w:val="•"/>
      <w:lvlJc w:val="left"/>
      <w:pPr>
        <w:ind w:left="6492" w:hanging="240"/>
      </w:pPr>
      <w:rPr>
        <w:rFonts w:hint="default"/>
      </w:rPr>
    </w:lvl>
    <w:lvl w:ilvl="8" w:tplc="80ACBDAA">
      <w:numFmt w:val="bullet"/>
      <w:lvlText w:val="•"/>
      <w:lvlJc w:val="left"/>
      <w:pPr>
        <w:ind w:left="7348" w:hanging="240"/>
      </w:pPr>
      <w:rPr>
        <w:rFonts w:hint="default"/>
      </w:rPr>
    </w:lvl>
  </w:abstractNum>
  <w:abstractNum w:abstractNumId="26">
    <w:nsid w:val="5C91745A"/>
    <w:multiLevelType w:val="hybridMultilevel"/>
    <w:tmpl w:val="C400ACA4"/>
    <w:lvl w:ilvl="0" w:tplc="B476AE20">
      <w:start w:val="1"/>
      <w:numFmt w:val="lowerLetter"/>
      <w:lvlText w:val="%1)"/>
      <w:lvlJc w:val="left"/>
      <w:pPr>
        <w:ind w:left="972" w:hanging="480"/>
        <w:jc w:val="left"/>
      </w:pPr>
      <w:rPr>
        <w:rFonts w:ascii="Arial" w:eastAsia="Arial" w:hAnsi="Arial" w:cs="Arial" w:hint="default"/>
        <w:color w:val="231F20"/>
        <w:w w:val="112"/>
        <w:sz w:val="20"/>
        <w:szCs w:val="20"/>
      </w:rPr>
    </w:lvl>
    <w:lvl w:ilvl="1" w:tplc="78D4F002">
      <w:numFmt w:val="bullet"/>
      <w:lvlText w:val="•"/>
      <w:lvlJc w:val="left"/>
      <w:pPr>
        <w:ind w:left="1788" w:hanging="480"/>
      </w:pPr>
      <w:rPr>
        <w:rFonts w:hint="default"/>
      </w:rPr>
    </w:lvl>
    <w:lvl w:ilvl="2" w:tplc="33A6CDC8">
      <w:numFmt w:val="bullet"/>
      <w:lvlText w:val="•"/>
      <w:lvlJc w:val="left"/>
      <w:pPr>
        <w:ind w:left="2596" w:hanging="480"/>
      </w:pPr>
      <w:rPr>
        <w:rFonts w:hint="default"/>
      </w:rPr>
    </w:lvl>
    <w:lvl w:ilvl="3" w:tplc="04D83AE2">
      <w:numFmt w:val="bullet"/>
      <w:lvlText w:val="•"/>
      <w:lvlJc w:val="left"/>
      <w:pPr>
        <w:ind w:left="3404" w:hanging="480"/>
      </w:pPr>
      <w:rPr>
        <w:rFonts w:hint="default"/>
      </w:rPr>
    </w:lvl>
    <w:lvl w:ilvl="4" w:tplc="42BA4DEA">
      <w:numFmt w:val="bullet"/>
      <w:lvlText w:val="•"/>
      <w:lvlJc w:val="left"/>
      <w:pPr>
        <w:ind w:left="4212" w:hanging="480"/>
      </w:pPr>
      <w:rPr>
        <w:rFonts w:hint="default"/>
      </w:rPr>
    </w:lvl>
    <w:lvl w:ilvl="5" w:tplc="6BBA54B6">
      <w:numFmt w:val="bullet"/>
      <w:lvlText w:val="•"/>
      <w:lvlJc w:val="left"/>
      <w:pPr>
        <w:ind w:left="5020" w:hanging="480"/>
      </w:pPr>
      <w:rPr>
        <w:rFonts w:hint="default"/>
      </w:rPr>
    </w:lvl>
    <w:lvl w:ilvl="6" w:tplc="4AAC10A6">
      <w:numFmt w:val="bullet"/>
      <w:lvlText w:val="•"/>
      <w:lvlJc w:val="left"/>
      <w:pPr>
        <w:ind w:left="5828" w:hanging="480"/>
      </w:pPr>
      <w:rPr>
        <w:rFonts w:hint="default"/>
      </w:rPr>
    </w:lvl>
    <w:lvl w:ilvl="7" w:tplc="F9AE14B6">
      <w:numFmt w:val="bullet"/>
      <w:lvlText w:val="•"/>
      <w:lvlJc w:val="left"/>
      <w:pPr>
        <w:ind w:left="6636" w:hanging="480"/>
      </w:pPr>
      <w:rPr>
        <w:rFonts w:hint="default"/>
      </w:rPr>
    </w:lvl>
    <w:lvl w:ilvl="8" w:tplc="04684D0E">
      <w:numFmt w:val="bullet"/>
      <w:lvlText w:val="•"/>
      <w:lvlJc w:val="left"/>
      <w:pPr>
        <w:ind w:left="7444" w:hanging="480"/>
      </w:pPr>
      <w:rPr>
        <w:rFonts w:hint="default"/>
      </w:rPr>
    </w:lvl>
  </w:abstractNum>
  <w:abstractNum w:abstractNumId="27">
    <w:nsid w:val="63824A69"/>
    <w:multiLevelType w:val="hybridMultilevel"/>
    <w:tmpl w:val="BB88CAD6"/>
    <w:lvl w:ilvl="0" w:tplc="2AEC0804">
      <w:numFmt w:val="bullet"/>
      <w:lvlText w:val="•"/>
      <w:lvlJc w:val="left"/>
      <w:pPr>
        <w:ind w:left="492" w:hanging="240"/>
      </w:pPr>
      <w:rPr>
        <w:rFonts w:ascii="Arial" w:eastAsia="Arial" w:hAnsi="Arial" w:cs="Arial" w:hint="default"/>
        <w:color w:val="231F20"/>
        <w:w w:val="134"/>
        <w:sz w:val="20"/>
        <w:szCs w:val="20"/>
      </w:rPr>
    </w:lvl>
    <w:lvl w:ilvl="1" w:tplc="EE5AA0A4">
      <w:numFmt w:val="bullet"/>
      <w:lvlText w:val="•"/>
      <w:lvlJc w:val="left"/>
      <w:pPr>
        <w:ind w:left="1356" w:hanging="240"/>
      </w:pPr>
      <w:rPr>
        <w:rFonts w:hint="default"/>
      </w:rPr>
    </w:lvl>
    <w:lvl w:ilvl="2" w:tplc="1C5EAE4E">
      <w:numFmt w:val="bullet"/>
      <w:lvlText w:val="•"/>
      <w:lvlJc w:val="left"/>
      <w:pPr>
        <w:ind w:left="2212" w:hanging="240"/>
      </w:pPr>
      <w:rPr>
        <w:rFonts w:hint="default"/>
      </w:rPr>
    </w:lvl>
    <w:lvl w:ilvl="3" w:tplc="9A3092E0">
      <w:numFmt w:val="bullet"/>
      <w:lvlText w:val="•"/>
      <w:lvlJc w:val="left"/>
      <w:pPr>
        <w:ind w:left="3068" w:hanging="240"/>
      </w:pPr>
      <w:rPr>
        <w:rFonts w:hint="default"/>
      </w:rPr>
    </w:lvl>
    <w:lvl w:ilvl="4" w:tplc="1A8A90E4">
      <w:numFmt w:val="bullet"/>
      <w:lvlText w:val="•"/>
      <w:lvlJc w:val="left"/>
      <w:pPr>
        <w:ind w:left="3924" w:hanging="240"/>
      </w:pPr>
      <w:rPr>
        <w:rFonts w:hint="default"/>
      </w:rPr>
    </w:lvl>
    <w:lvl w:ilvl="5" w:tplc="ED28A2CC">
      <w:numFmt w:val="bullet"/>
      <w:lvlText w:val="•"/>
      <w:lvlJc w:val="left"/>
      <w:pPr>
        <w:ind w:left="4780" w:hanging="240"/>
      </w:pPr>
      <w:rPr>
        <w:rFonts w:hint="default"/>
      </w:rPr>
    </w:lvl>
    <w:lvl w:ilvl="6" w:tplc="DBAC07E2">
      <w:numFmt w:val="bullet"/>
      <w:lvlText w:val="•"/>
      <w:lvlJc w:val="left"/>
      <w:pPr>
        <w:ind w:left="5636" w:hanging="240"/>
      </w:pPr>
      <w:rPr>
        <w:rFonts w:hint="default"/>
      </w:rPr>
    </w:lvl>
    <w:lvl w:ilvl="7" w:tplc="CEDA0A3A">
      <w:numFmt w:val="bullet"/>
      <w:lvlText w:val="•"/>
      <w:lvlJc w:val="left"/>
      <w:pPr>
        <w:ind w:left="6492" w:hanging="240"/>
      </w:pPr>
      <w:rPr>
        <w:rFonts w:hint="default"/>
      </w:rPr>
    </w:lvl>
    <w:lvl w:ilvl="8" w:tplc="CE5AE804">
      <w:numFmt w:val="bullet"/>
      <w:lvlText w:val="•"/>
      <w:lvlJc w:val="left"/>
      <w:pPr>
        <w:ind w:left="7348" w:hanging="240"/>
      </w:pPr>
      <w:rPr>
        <w:rFonts w:hint="default"/>
      </w:rPr>
    </w:lvl>
  </w:abstractNum>
  <w:abstractNum w:abstractNumId="28">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07D38"/>
    <w:multiLevelType w:val="hybridMultilevel"/>
    <w:tmpl w:val="5CB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0"/>
  </w:num>
  <w:num w:numId="4">
    <w:abstractNumId w:val="11"/>
  </w:num>
  <w:num w:numId="5">
    <w:abstractNumId w:val="13"/>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2"/>
  </w:num>
  <w:num w:numId="11">
    <w:abstractNumId w:val="7"/>
  </w:num>
  <w:num w:numId="12">
    <w:abstractNumId w:val="14"/>
  </w:num>
  <w:num w:numId="13">
    <w:abstractNumId w:val="1"/>
  </w:num>
  <w:num w:numId="14">
    <w:abstractNumId w:val="5"/>
  </w:num>
  <w:num w:numId="15">
    <w:abstractNumId w:val="2"/>
  </w:num>
  <w:num w:numId="16">
    <w:abstractNumId w:val="4"/>
  </w:num>
  <w:num w:numId="17">
    <w:abstractNumId w:val="18"/>
    <w:lvlOverride w:ilvl="0">
      <w:startOverride w:val="1"/>
    </w:lvlOverride>
  </w:num>
  <w:num w:numId="18">
    <w:abstractNumId w:val="3"/>
  </w:num>
  <w:num w:numId="19">
    <w:abstractNumId w:val="18"/>
    <w:lvlOverride w:ilvl="0">
      <w:startOverride w:val="1"/>
    </w:lvlOverride>
  </w:num>
  <w:num w:numId="20">
    <w:abstractNumId w:val="15"/>
  </w:num>
  <w:num w:numId="21">
    <w:abstractNumId w:val="21"/>
  </w:num>
  <w:num w:numId="22">
    <w:abstractNumId w:val="20"/>
  </w:num>
  <w:num w:numId="23">
    <w:abstractNumId w:val="17"/>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4"/>
  </w:num>
  <w:num w:numId="28">
    <w:abstractNumId w:val="29"/>
  </w:num>
  <w:num w:numId="29">
    <w:abstractNumId w:val="9"/>
  </w:num>
  <w:num w:numId="30">
    <w:abstractNumId w:val="8"/>
  </w:num>
  <w:num w:numId="31">
    <w:abstractNumId w:val="6"/>
  </w:num>
  <w:num w:numId="32">
    <w:abstractNumId w:val="23"/>
  </w:num>
  <w:num w:numId="33">
    <w:abstractNumId w:val="16"/>
  </w:num>
  <w:num w:numId="34">
    <w:abstractNumId w:val="22"/>
  </w:num>
  <w:num w:numId="35">
    <w:abstractNumId w:val="27"/>
  </w:num>
  <w:num w:numId="36">
    <w:abstractNumId w:val="25"/>
  </w:num>
  <w:num w:numId="37">
    <w:abstractNumId w:val="19"/>
  </w:num>
  <w:num w:numId="38">
    <w:abstractNumId w:val="26"/>
  </w:num>
  <w:num w:numId="39">
    <w:abstractNumId w:val="1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0BD5"/>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05291"/>
    <w:rsid w:val="00110B8E"/>
    <w:rsid w:val="00125F03"/>
    <w:rsid w:val="001266F9"/>
    <w:rsid w:val="0012702B"/>
    <w:rsid w:val="00133856"/>
    <w:rsid w:val="00153221"/>
    <w:rsid w:val="00166711"/>
    <w:rsid w:val="00166B2E"/>
    <w:rsid w:val="001670CF"/>
    <w:rsid w:val="00176AA6"/>
    <w:rsid w:val="00183122"/>
    <w:rsid w:val="001840E2"/>
    <w:rsid w:val="00194733"/>
    <w:rsid w:val="001A2F77"/>
    <w:rsid w:val="001A3D8E"/>
    <w:rsid w:val="001B0659"/>
    <w:rsid w:val="001D6956"/>
    <w:rsid w:val="001E2BE7"/>
    <w:rsid w:val="001F0AE2"/>
    <w:rsid w:val="001F61FA"/>
    <w:rsid w:val="00210558"/>
    <w:rsid w:val="00211A6F"/>
    <w:rsid w:val="00212BC0"/>
    <w:rsid w:val="00212CB5"/>
    <w:rsid w:val="00214411"/>
    <w:rsid w:val="00215889"/>
    <w:rsid w:val="0021598D"/>
    <w:rsid w:val="002407EE"/>
    <w:rsid w:val="00243AE8"/>
    <w:rsid w:val="0024470B"/>
    <w:rsid w:val="002454BC"/>
    <w:rsid w:val="00250C66"/>
    <w:rsid w:val="002517FC"/>
    <w:rsid w:val="00253A1A"/>
    <w:rsid w:val="002543BD"/>
    <w:rsid w:val="0026196F"/>
    <w:rsid w:val="00262357"/>
    <w:rsid w:val="00263ECD"/>
    <w:rsid w:val="0027157A"/>
    <w:rsid w:val="002762CB"/>
    <w:rsid w:val="00276BD7"/>
    <w:rsid w:val="00277B81"/>
    <w:rsid w:val="00284777"/>
    <w:rsid w:val="00295906"/>
    <w:rsid w:val="002A3D8E"/>
    <w:rsid w:val="002B462D"/>
    <w:rsid w:val="002C154B"/>
    <w:rsid w:val="002C4344"/>
    <w:rsid w:val="002C635A"/>
    <w:rsid w:val="002D0AF9"/>
    <w:rsid w:val="002D4BA5"/>
    <w:rsid w:val="002D6B46"/>
    <w:rsid w:val="002E441B"/>
    <w:rsid w:val="003043E3"/>
    <w:rsid w:val="0030440C"/>
    <w:rsid w:val="003075A7"/>
    <w:rsid w:val="003171D9"/>
    <w:rsid w:val="0032344D"/>
    <w:rsid w:val="00334DA9"/>
    <w:rsid w:val="00354048"/>
    <w:rsid w:val="00376D39"/>
    <w:rsid w:val="00380F87"/>
    <w:rsid w:val="00387291"/>
    <w:rsid w:val="00397969"/>
    <w:rsid w:val="003B38E8"/>
    <w:rsid w:val="003B7DC5"/>
    <w:rsid w:val="003C3AC4"/>
    <w:rsid w:val="003D47C1"/>
    <w:rsid w:val="003F187B"/>
    <w:rsid w:val="003F4E65"/>
    <w:rsid w:val="003F690E"/>
    <w:rsid w:val="00415F5E"/>
    <w:rsid w:val="0042208D"/>
    <w:rsid w:val="0042447B"/>
    <w:rsid w:val="004331F9"/>
    <w:rsid w:val="004365A8"/>
    <w:rsid w:val="00437CE6"/>
    <w:rsid w:val="00454AF1"/>
    <w:rsid w:val="0045780C"/>
    <w:rsid w:val="00461AAB"/>
    <w:rsid w:val="00462C04"/>
    <w:rsid w:val="00471E46"/>
    <w:rsid w:val="00474712"/>
    <w:rsid w:val="004754CE"/>
    <w:rsid w:val="004824AF"/>
    <w:rsid w:val="0049541E"/>
    <w:rsid w:val="004B350C"/>
    <w:rsid w:val="004B454F"/>
    <w:rsid w:val="004B53A7"/>
    <w:rsid w:val="004D11FF"/>
    <w:rsid w:val="004E2FEE"/>
    <w:rsid w:val="004E3773"/>
    <w:rsid w:val="004E393A"/>
    <w:rsid w:val="004E5E1F"/>
    <w:rsid w:val="004E618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0E70"/>
    <w:rsid w:val="005A2DB2"/>
    <w:rsid w:val="005E2BF9"/>
    <w:rsid w:val="005F3389"/>
    <w:rsid w:val="00610627"/>
    <w:rsid w:val="00611A6A"/>
    <w:rsid w:val="00613FD9"/>
    <w:rsid w:val="0061435C"/>
    <w:rsid w:val="006200B9"/>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A24DF"/>
    <w:rsid w:val="006B058A"/>
    <w:rsid w:val="006C1A7B"/>
    <w:rsid w:val="006C3C0C"/>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161DD"/>
    <w:rsid w:val="00821C6F"/>
    <w:rsid w:val="00827F1E"/>
    <w:rsid w:val="0083159C"/>
    <w:rsid w:val="0083699C"/>
    <w:rsid w:val="00837E0E"/>
    <w:rsid w:val="008417A2"/>
    <w:rsid w:val="00847E16"/>
    <w:rsid w:val="00850961"/>
    <w:rsid w:val="00850CF2"/>
    <w:rsid w:val="00853505"/>
    <w:rsid w:val="0085717B"/>
    <w:rsid w:val="00863846"/>
    <w:rsid w:val="00865EF7"/>
    <w:rsid w:val="00872DBF"/>
    <w:rsid w:val="00873418"/>
    <w:rsid w:val="00877CBD"/>
    <w:rsid w:val="00884C5A"/>
    <w:rsid w:val="00885426"/>
    <w:rsid w:val="008B698E"/>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492F"/>
    <w:rsid w:val="00B64BCB"/>
    <w:rsid w:val="00B6708D"/>
    <w:rsid w:val="00B848F7"/>
    <w:rsid w:val="00BA1E29"/>
    <w:rsid w:val="00BA392D"/>
    <w:rsid w:val="00BB4D88"/>
    <w:rsid w:val="00BB7CCC"/>
    <w:rsid w:val="00BC14A9"/>
    <w:rsid w:val="00BC6D3C"/>
    <w:rsid w:val="00BC7202"/>
    <w:rsid w:val="00BE4276"/>
    <w:rsid w:val="00BF5468"/>
    <w:rsid w:val="00C13AA2"/>
    <w:rsid w:val="00C24C34"/>
    <w:rsid w:val="00C2565E"/>
    <w:rsid w:val="00C27771"/>
    <w:rsid w:val="00C31A8B"/>
    <w:rsid w:val="00C45387"/>
    <w:rsid w:val="00C522B1"/>
    <w:rsid w:val="00C60A3E"/>
    <w:rsid w:val="00C62D0E"/>
    <w:rsid w:val="00C80287"/>
    <w:rsid w:val="00C951F4"/>
    <w:rsid w:val="00C9685E"/>
    <w:rsid w:val="00CA0C50"/>
    <w:rsid w:val="00CB62F3"/>
    <w:rsid w:val="00CB76EF"/>
    <w:rsid w:val="00CC12B7"/>
    <w:rsid w:val="00CD6BE3"/>
    <w:rsid w:val="00CD7D85"/>
    <w:rsid w:val="00CE1266"/>
    <w:rsid w:val="00CF0487"/>
    <w:rsid w:val="00CF7DD0"/>
    <w:rsid w:val="00D04015"/>
    <w:rsid w:val="00D05B6A"/>
    <w:rsid w:val="00D10B25"/>
    <w:rsid w:val="00D11490"/>
    <w:rsid w:val="00D23F43"/>
    <w:rsid w:val="00D245B1"/>
    <w:rsid w:val="00D278DA"/>
    <w:rsid w:val="00D3108E"/>
    <w:rsid w:val="00D34CCE"/>
    <w:rsid w:val="00D375C5"/>
    <w:rsid w:val="00D4489F"/>
    <w:rsid w:val="00D47F77"/>
    <w:rsid w:val="00D524CD"/>
    <w:rsid w:val="00D5394E"/>
    <w:rsid w:val="00D552CC"/>
    <w:rsid w:val="00D56FAB"/>
    <w:rsid w:val="00D61F05"/>
    <w:rsid w:val="00D62B17"/>
    <w:rsid w:val="00D708FD"/>
    <w:rsid w:val="00D72B9D"/>
    <w:rsid w:val="00D756EE"/>
    <w:rsid w:val="00D97C27"/>
    <w:rsid w:val="00DA07DD"/>
    <w:rsid w:val="00DA30E1"/>
    <w:rsid w:val="00DA34DE"/>
    <w:rsid w:val="00DA62EB"/>
    <w:rsid w:val="00DB1CD2"/>
    <w:rsid w:val="00DB4C03"/>
    <w:rsid w:val="00DB63AD"/>
    <w:rsid w:val="00DC51ED"/>
    <w:rsid w:val="00DD0D46"/>
    <w:rsid w:val="00DD1911"/>
    <w:rsid w:val="00DD40A8"/>
    <w:rsid w:val="00DD47AE"/>
    <w:rsid w:val="00DE2047"/>
    <w:rsid w:val="00DE42D5"/>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B472A"/>
    <w:rsid w:val="00EC362B"/>
    <w:rsid w:val="00EC7DA3"/>
    <w:rsid w:val="00EC7F6E"/>
    <w:rsid w:val="00ED6622"/>
    <w:rsid w:val="00EE3D34"/>
    <w:rsid w:val="00EE706C"/>
    <w:rsid w:val="00F10C9F"/>
    <w:rsid w:val="00F13448"/>
    <w:rsid w:val="00F14A72"/>
    <w:rsid w:val="00F22F22"/>
    <w:rsid w:val="00F2725E"/>
    <w:rsid w:val="00F35E1D"/>
    <w:rsid w:val="00F40B32"/>
    <w:rsid w:val="00F6163E"/>
    <w:rsid w:val="00F61662"/>
    <w:rsid w:val="00F75708"/>
    <w:rsid w:val="00F76E4D"/>
    <w:rsid w:val="00F80B4F"/>
    <w:rsid w:val="00FA0464"/>
    <w:rsid w:val="00FA437F"/>
    <w:rsid w:val="00FB4C92"/>
    <w:rsid w:val="00FC32B0"/>
    <w:rsid w:val="00FC67C8"/>
    <w:rsid w:val="00FC75BD"/>
    <w:rsid w:val="00FC79C8"/>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133856"/>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EC362B"/>
    <w:pPr>
      <w:widowControl w:val="0"/>
      <w:autoSpaceDE w:val="0"/>
      <w:autoSpaceDN w:val="0"/>
      <w:adjustRightInd w:val="0"/>
    </w:pPr>
    <w:rPr>
      <w:rFonts w:ascii="Arial" w:eastAsia="Times New Roman" w:hAnsi="Arial" w:cs="Arial"/>
      <w:b/>
      <w:bCs/>
    </w:rPr>
  </w:style>
  <w:style w:type="character" w:customStyle="1" w:styleId="BodyTextChar">
    <w:name w:val="Body Text Char"/>
    <w:basedOn w:val="DefaultParagraphFont"/>
    <w:link w:val="BodyText"/>
    <w:uiPriority w:val="1"/>
    <w:rsid w:val="00EC362B"/>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mah.gov.on.ca/Page189.aspx" TargetMode="External"/><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http://www.expatistan.com/cost-of-liv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29F00-7315-3C4C-8F1E-0EEC785E0257}">
  <ds:schemaRefs>
    <ds:schemaRef ds:uri="http://schemas.openxmlformats.org/officeDocument/2006/bibliography"/>
  </ds:schemaRefs>
</ds:datastoreItem>
</file>

<file path=customXml/itemProps2.xml><?xml version="1.0" encoding="utf-8"?>
<ds:datastoreItem xmlns:ds="http://schemas.openxmlformats.org/officeDocument/2006/customXml" ds:itemID="{1D890991-A706-4641-87C3-5428C3C11BDF}"/>
</file>

<file path=customXml/itemProps3.xml><?xml version="1.0" encoding="utf-8"?>
<ds:datastoreItem xmlns:ds="http://schemas.openxmlformats.org/officeDocument/2006/customXml" ds:itemID="{673999B0-0964-4333-833C-E97035CE1667}"/>
</file>

<file path=customXml/itemProps4.xml><?xml version="1.0" encoding="utf-8"?>
<ds:datastoreItem xmlns:ds="http://schemas.openxmlformats.org/officeDocument/2006/customXml" ds:itemID="{DB45D4C4-F1D7-4FE0-B676-54A62F911B38}"/>
</file>

<file path=docProps/app.xml><?xml version="1.0" encoding="utf-8"?>
<Properties xmlns="http://schemas.openxmlformats.org/officeDocument/2006/extended-properties" xmlns:vt="http://schemas.openxmlformats.org/officeDocument/2006/docPropsVTypes">
  <Template>OTF LP.dotx</Template>
  <TotalTime>1</TotalTime>
  <Pages>7</Pages>
  <Words>1674</Words>
  <Characters>9543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2017-10-10T02:48:00Z</dcterms:created>
  <dcterms:modified xsi:type="dcterms:W3CDTF">2017-10-26T02:14:00Z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